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Hum 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09:37:08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21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吉林大学第一医院普通外科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Hum Cell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RCC2 contributes to tumor invasion and chemoresistance to cisplatin in hepatocellular carcinoma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参与肝细胞癌的肿瘤侵袭和对顺铂的耐药性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肿瘤转移和化疗耐药性是肝细胞癌（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）治疗失败和高死亡率的主要原因。因此，阐明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细胞的生物学作用和潜在机制对于开发新的治疗方法至关重要。染色体缩合调节因子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）是染色体乘客复合体的一个组成部分，已被证明在肿瘤发展和放化疗耐药性中起着重要作用。然而，它在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的侵袭性表型和顺铂（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）耐药性中的作用尚不清楚。因此，本研究旨在探讨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发病机制中的作用。有趣的是，我们发现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患者标本和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细胞系中上调，并与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的病理分级相关。为了评估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细胞中的功能，将基于慢病毒载体的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细胞中。沉默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细胞的增殖、迁移、侵袭，并增加了凋亡率。进一步的分析表明，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介导的存活蛋白表达下调是通过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途径发生的。我们的研究结果表明，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可能作为一种致癌蛋白，促进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细胞的转移行为和顺铂耐药性，从而可能成为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的潜在预后生物标志物和治疗靶点。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吉林大学中日联合医院肝胆胰外科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号，吉林省长春市先泰街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Hum Cell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总编辑撤回了这篇文章。发表后，人们提出了一些担忧。发现图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与另一篇出版物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与之前发表的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以及同时考虑的一篇文章的图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[4]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与早期文章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重叠。作者没有回应出版商关于此次撤回的信件。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884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527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8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02444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34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0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9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82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3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42&amp;idx=1&amp;sn=c85a35806a34e992f7ae13d1cd27e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