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学术诚信再受挑战！山西医科大学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Jie Du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、海南省人民医院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Wang Liao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联合研究被曝实验图像异常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17:18:00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4174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7574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2023年3月2日，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山西医科大学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Jie Du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（杜杰）、海南省人民医院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Wang Liao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（廖旺）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Nature Communications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N6-methyladenosine of Spi2a attenuates inflammation and sepsis-associated myocardial dysfunction in mice”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0814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0340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0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086100"/>
            <wp:docPr id="100004" name="" descr="海南省人民医院 - 工程案例 - 立邦工程涂装材料和交付供应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1308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4514850" cy="3009900"/>
            <wp:docPr id="100005" name="" descr="山西医科大学获评“2019年度医药类十大搜索热度高校” —山西站—中国教育在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629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S6K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及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S7D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对应的图片是一样的，不排除误用可能。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44007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3689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44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https://pmc.ncbi.nlm.nih.gov/articles/PMC9979126/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615&amp;idx=1&amp;sn=44ba2f4220a9e3f8b7be78a5cf28ccd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