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学术严谨性受挑战：浙医邵逸夫医院与美国希望之城论文因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WB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条带重复问题被质疑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14:35:00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2015年9月10日，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浙江大学医学院附属邵逸夫医院&amp;美国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希望之城国家医疗中心在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Oncotarget期刊上在线发表题为"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Crizotinib induces autophagy through inhibition of the STAT3 pathway in multiple lung cancer cell lines"的论文。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第一作者：浙江大学医学院附属邵逸夫医院 Liangkun You, Jiawei Shou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浙江大学医学院附属邵逸夫医院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Weidong Han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美国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希望之城国家医疗中心 Wendong Huang，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浙江大学医学院附属邵逸夫医院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Hongming Pan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该研究得到了中国国家自然科学基金（项目编号：81272593）、浙江省医药卫生科技平台项目（项目编号：2014ZDA012，资助对象：H. Pan）、中国国家自然科学基金（项目编号：81372621，资助对象：W. Han）、中国国家自然科学基金（项目编号：81328016，资助对象：W. Huang）以及浙江省自然科学基金（项目编号：LY12H16022，资助对象：Q. Pan）的支持。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41757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7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6677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562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6731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7029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color="auto" w:fill="FFFFFF"/>
        </w:rPr>
        <w:t>针对所提出的质疑，尚未见到作者在www.pubpeer.com上的回应内容。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https://pubpeer.com/publications/9D6EAD1EED717C1EEC380BAAEDD4DD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4569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927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9268&amp;idx=1&amp;sn=667f90caeb46f7df9f2e6545731df6f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