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多组数据重叠！厦门大学医学院论文遭质疑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11:34:37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7310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095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2015年10月，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厦门大学医学院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Oncotarget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Interleukin 6 trigged ataxia-telangiectasia mutated activation facilitates lung cancer metastasis via MMP-3/MMP-13 up-regulation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白细胞介素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 xml:space="preserve"> 6 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触发的共济失调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-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特朗根氏症突变激活通过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 xml:space="preserve"> MMP-3/MMP-13 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上调促进肺癌转移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本研究得到了肿瘤基因及相关基因国家重点实验室（</w:t>
      </w:r>
      <w:r>
        <w:rPr>
          <w:rStyle w:val="any"/>
          <w:rFonts w:ascii="Times New Roman" w:eastAsia="Times New Roman" w:hAnsi="Times New Roman" w:cs="Times New Roman"/>
          <w:spacing w:val="8"/>
        </w:rPr>
        <w:t>No. 90-14-05 to FG. Gao</w:t>
      </w:r>
      <w:r>
        <w:rPr>
          <w:rStyle w:val="any"/>
          <w:rFonts w:ascii="PMingLiU" w:eastAsia="PMingLiU" w:hAnsi="PMingLiU" w:cs="PMingLiU"/>
          <w:spacing w:val="8"/>
        </w:rPr>
        <w:t>）、国家自然科学基金（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No. 81273203 to FG. Gao; No. 81201275 to Q. Li</w:t>
      </w:r>
      <w:r>
        <w:rPr>
          <w:rStyle w:val="any"/>
          <w:rFonts w:ascii="PMingLiU" w:eastAsia="PMingLiU" w:hAnsi="PMingLiU" w:cs="PMingLiU"/>
          <w:spacing w:val="8"/>
        </w:rPr>
        <w:t>）和福建省自然科学基金（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No. 2015J01353 to Q. Li</w:t>
      </w:r>
      <w:r>
        <w:rPr>
          <w:rStyle w:val="any"/>
          <w:rFonts w:ascii="PMingLiU" w:eastAsia="PMingLiU" w:hAnsi="PMingLiU" w:cs="PMingLiU"/>
          <w:spacing w:val="8"/>
        </w:rPr>
        <w:t>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10.18632/oncotarget.5825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厦门大学医学院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Yi Na Jiang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Hong Qiong Yan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厦门大学医学院</w:t>
      </w:r>
      <w:r>
        <w:rPr>
          <w:rStyle w:val="any"/>
          <w:rFonts w:ascii="Times New Roman" w:eastAsia="Times New Roman" w:hAnsi="Times New Roman" w:cs="Times New Roman"/>
          <w:color w:val="0052FF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Feng Guang Gao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（音译：高丰光）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68116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7205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8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 Nebria gyllenhali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比预期的要相似得多。</w:t>
      </w: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1757992"/>
            <wp:docPr id="100004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1336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57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509520"/>
            <wp:docPr id="100005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2558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717800"/>
            <wp:docPr id="100006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5408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720" w:right="72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strike w:val="0"/>
          <w:color w:val="333333"/>
          <w:spacing w:val="0"/>
          <w:sz w:val="23"/>
          <w:szCs w:val="23"/>
          <w:u w:val="none"/>
        </w:rPr>
        <w:drawing>
          <wp:inline>
            <wp:extent cx="5486400" cy="5975011"/>
            <wp:docPr id="100007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7050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75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1153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9096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1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3121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7101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31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https://pubpeer.com/publications/AB5255924A1DD52F838406EB33D34E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hyperlink" Target="https://mp.weixin.qq.com/s?__biz=MzkyNTc2OTI4Mw==&amp;mid=2247484961&amp;idx=1&amp;sn=d8a51a591fb0c959e88bc92de949b52c&amp;scene=21" TargetMode="External" /><Relationship Id="rId16" Type="http://schemas.openxmlformats.org/officeDocument/2006/relationships/hyperlink" Target="https://mp.weixin.qq.com/s?__biz=MzkyNTc2OTI4Mw==&amp;mid=2247491231&amp;idx=1&amp;sn=bf06908b0e9e428754f6000aee228d8e&amp;scene=21" TargetMode="External" /><Relationship Id="rId17" Type="http://schemas.openxmlformats.org/officeDocument/2006/relationships/hyperlink" Target="https://mp.weixin.qq.com/s?__biz=MzkyNTc2OTI4Mw==&amp;mid=2247491873&amp;idx=1&amp;sn=5a5a332536e5e553616a469db0ceaa34&amp;scene=21" TargetMode="External" /><Relationship Id="rId18" Type="http://schemas.openxmlformats.org/officeDocument/2006/relationships/hyperlink" Target="https://mp.weixin.qq.com/s?__biz=MzkyNTc2OTI4Mw==&amp;mid=2247491708&amp;idx=2&amp;sn=5338a9fdda1f2807a34fe1be499c78cf&amp;scene=21" TargetMode="External" /><Relationship Id="rId19" Type="http://schemas.openxmlformats.org/officeDocument/2006/relationships/hyperlink" Target="https://mp.weixin.qq.com/s?__biz=MzkyNTc2OTI4Mw==&amp;mid=2247491914&amp;idx=1&amp;sn=f2421b6bcf3f228868d51e69904ab890&amp;scene=21" TargetMode="External" /><Relationship Id="rId2" Type="http://schemas.openxmlformats.org/officeDocument/2006/relationships/webSettings" Target="webSettings.xml" /><Relationship Id="rId20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3114&amp;idx=1&amp;sn=5080a7b82b96ab854c0a51527fdcaea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