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痕迹明显？广州医科大学附属第三医院论文遭质疑，学术诚信受拷问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62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Combination of CRISPR/Cas9 and iPSC Technologies in the Gene Therapy of Human β-thalassemia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CRISPR/Cas9 和 iPSC 技术在小鼠人类 β 地中海贫血症基因治疗中的联合应用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）、广东省科技计划项目国际合作项目（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Zhanhui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（音译：孙筱放），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Daolin Tang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唐道林）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90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3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中至少有两幅图的数据点似乎出乎意料地相似，据我所知，这种情况极不可能发生（即使是对相同样本的两次分析），而且选取的百分比也不同。我在两幅图中用相似的颜色勾勒出了其中一些可能重复的区域。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作者是否仍可获得原始数据供期刊审阅？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89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13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中发现了两组似乎相同的图，包括门控百分比。我不确定这是否是有意为之，但还是想说明一下，以防万一。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786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9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4&amp;sn=0b49d07b0ad2d50d4554417cf4dc13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