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07:54:59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9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86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63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9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4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03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天津医科大学肿瘤医院麻醉科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Oxid Med Cell Longev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“Propofol Protects Rat Cardiomyocytes from Anthracycline-Induced Apoptosis by Regulating MicroRNA-181a In Vitro and In Vivo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（丙泊酚在体内外调控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microRNA-181a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保护大鼠心肌细胞免于蒽环类药物诱导的细胞凋亡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第一作者：天津医科大学肿瘤医院麻醉科中医学院的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Hongwei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（音译：赵宏伟）；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天津医科大学肿瘤医院麻醉科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Kaiyuan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（音译：王开源）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81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3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23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本研究中呈现的图像与其他研究中呈现的图像之间存在意外的重叠（见下文附图）。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涉及的论文如下：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https://pubmed.ncbi.nlm.nih.gov/35722399/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https://pubmed.ncbi.nlm.nih.gov/33833984/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https://pubmed.ncbi.nlm.nih.gov/29849870/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0048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99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图片相似。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2606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0861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11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47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71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7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H, Zhang X, Zheng Y, Li Y, Wang X, Hu N, Zhou P, Wang K. Propofol Protects Rat Cardiomyocytes from Anthracycline-Induced Apoptosis by Regulating MicroRNA-181a 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In Vitro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 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In Vivo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Oxid Med Cell Longev. 2018 Apr 18;2018:2109216. doi: 10.1155/2018/2109216                                                                                                            . PMID: 29849870; PMCID: PMC5932430.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1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02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2&amp;idx=1&amp;sn=dfcbbf812e3b3d6304c86394b001be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