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河南中医药大学第二临床医学院儿科某主任的论文被质疑！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21:59:22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河南中医药大学第二临床医学院儿科在期刊</w:t>
      </w:r>
      <w:r>
        <w:rPr>
          <w:rStyle w:val="any"/>
          <w:color w:val="000000"/>
          <w:spacing w:val="8"/>
          <w:lang w:val="en-US" w:eastAsia="en-US"/>
        </w:rPr>
        <w:t>Bioengineered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上发表一篇研究论文，研究发现了止咳平喘颗粒抑制白细胞介素</w:t>
      </w:r>
      <w:r>
        <w:rPr>
          <w:rStyle w:val="any"/>
          <w:color w:val="000000"/>
          <w:spacing w:val="8"/>
          <w:lang w:val="en-US" w:eastAsia="en-US"/>
        </w:rPr>
        <w:t>-6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或</w:t>
      </w:r>
      <w:r>
        <w:rPr>
          <w:rStyle w:val="any"/>
          <w:color w:val="000000"/>
          <w:spacing w:val="8"/>
          <w:lang w:val="en-US" w:eastAsia="en-US"/>
        </w:rPr>
        <w:t>M2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巨噬细胞介导的人支气管上皮细胞凋亡。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Zhike Pingchuan Granule suppresses interleukin (IL)-6 or the medium of M2 macrophages induced apoptosis in human bronchial epithelial cells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Yumei Ren , Yongbin Yan , Lei Zhen , Caihong Cao , Quan Wang , Yingying Zhang , </w:t>
      </w:r>
      <w:r>
        <w:rPr>
          <w:rStyle w:val="any"/>
          <w:color w:val="000000"/>
          <w:spacing w:val="8"/>
          <w:lang w:val="en-US" w:eastAsia="en-US"/>
        </w:rPr>
        <w:t>Shan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河南中医药大学第二临床医学院儿科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66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4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红盒：</w:t>
      </w:r>
      <w:r>
        <w:rPr>
          <w:rStyle w:val="any"/>
          <w:spacing w:val="8"/>
          <w:lang w:val="en-US" w:eastAsia="en-US"/>
        </w:rPr>
        <w:t>IL-6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C-caspase3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10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8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https://pubpeer.com/publications/0C79A649FAEA5C7074EC4867C91136/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55&amp;idx=1&amp;sn=e576cec60c59c2adcd271dc06e6a2d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