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期刊重拳出击：辽宁省肿瘤医院综合内科科主任论文遭撤稿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2025-04-26 14:11:41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国际期刊《</w:t>
      </w:r>
      <w:r>
        <w:rPr>
          <w:rStyle w:val="any"/>
          <w:rFonts w:ascii="Times New Roman" w:eastAsia="Times New Roman" w:hAnsi="Times New Roman" w:cs="Times New Roman"/>
          <w:spacing w:val="8"/>
        </w:rPr>
        <w:t>Journal of Cellular Biochemistry</w:t>
      </w:r>
      <w:r>
        <w:rPr>
          <w:rStyle w:val="any"/>
          <w:rFonts w:ascii="PMingLiU" w:eastAsia="PMingLiU" w:hAnsi="PMingLiU" w:cs="PMingLiU"/>
          <w:spacing w:val="8"/>
        </w:rPr>
        <w:t>》</w:t>
      </w:r>
      <w:r>
        <w:rPr>
          <w:rStyle w:val="any"/>
          <w:rFonts w:ascii="Times New Roman" w:eastAsia="Times New Roman" w:hAnsi="Times New Roman" w:cs="Times New Roman"/>
          <w:spacing w:val="8"/>
        </w:rPr>
        <w:t>2018</w:t>
      </w:r>
      <w:r>
        <w:rPr>
          <w:rStyle w:val="any"/>
          <w:rFonts w:ascii="PMingLiU" w:eastAsia="PMingLiU" w:hAnsi="PMingLiU" w:cs="PMingLiU"/>
          <w:spacing w:val="8"/>
        </w:rPr>
        <w:t>年发表的结肠癌研究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 ‘Proliferation and invasion of colon cancer cells are suppressed by knockdown of TOP2A’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敲低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TOP2A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抑制结肠癌细胞增殖和侵袭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doi: 10.1002/jcb.26916</w:t>
      </w:r>
      <w:r>
        <w:rPr>
          <w:rStyle w:val="any"/>
          <w:rFonts w:ascii="PMingLiU" w:eastAsia="PMingLiU" w:hAnsi="PMingLiU" w:cs="PMingLiU"/>
          <w:spacing w:val="8"/>
        </w:rPr>
        <w:t>）因图像问题，于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25</w:t>
      </w:r>
      <w:r>
        <w:rPr>
          <w:rStyle w:val="any"/>
          <w:rFonts w:ascii="PMingLiU" w:eastAsia="PMingLiU" w:hAnsi="PMingLiU" w:cs="PMingLiU"/>
          <w:spacing w:val="8"/>
        </w:rPr>
        <w:t>日被正式撤稿。该研究由</w:t>
      </w:r>
      <w:r>
        <w:rPr>
          <w:rStyle w:val="any"/>
          <w:rFonts w:ascii="Times New Roman" w:eastAsia="Times New Roman" w:hAnsi="Times New Roman" w:cs="Times New Roman"/>
          <w:spacing w:val="8"/>
        </w:rPr>
        <w:t>Rui Zhang , Jian Xu , Jian Zhao 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Jinghui Bai</w:t>
      </w:r>
      <w:r>
        <w:rPr>
          <w:rStyle w:val="any"/>
          <w:rFonts w:ascii="PMingLiU" w:eastAsia="PMingLiU" w:hAnsi="PMingLiU" w:cs="PMingLiU"/>
          <w:spacing w:val="8"/>
        </w:rPr>
        <w:t>（通讯作者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, </w:t>
      </w:r>
      <w:r>
        <w:rPr>
          <w:rStyle w:val="any"/>
          <w:rFonts w:ascii="PMingLiU" w:eastAsia="PMingLiU" w:hAnsi="PMingLiU" w:cs="PMingLiU"/>
          <w:spacing w:val="8"/>
        </w:rPr>
        <w:t>科主任）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共同完成，通讯单位为辽宁省肿瘤医院综合内科。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111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5210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9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指出本文与多篇研究图像重复：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4 </w:t>
      </w:r>
      <w:r>
        <w:rPr>
          <w:rStyle w:val="any"/>
          <w:rFonts w:ascii="PMingLiU" w:eastAsia="PMingLiU" w:hAnsi="PMingLiU" w:cs="PMingLiU"/>
          <w:spacing w:val="8"/>
        </w:rPr>
        <w:t>抑制</w:t>
      </w:r>
      <w:r>
        <w:rPr>
          <w:rStyle w:val="any"/>
          <w:rFonts w:ascii="Times New Roman" w:eastAsia="Times New Roman" w:hAnsi="Times New Roman" w:cs="Times New Roman"/>
          <w:spacing w:val="8"/>
        </w:rPr>
        <w:t>TOP2A</w:t>
      </w:r>
      <w:r>
        <w:rPr>
          <w:rStyle w:val="any"/>
          <w:rFonts w:ascii="PMingLiU" w:eastAsia="PMingLiU" w:hAnsi="PMingLiU" w:cs="PMingLiU"/>
          <w:spacing w:val="8"/>
        </w:rPr>
        <w:t>表达可诱导结肠癌细胞凋亡。</w:t>
      </w:r>
      <w:r>
        <w:rPr>
          <w:rStyle w:val="any"/>
          <w:rFonts w:ascii="Times New Roman" w:eastAsia="Times New Roman" w:hAnsi="Times New Roman" w:cs="Times New Roman"/>
          <w:spacing w:val="8"/>
        </w:rPr>
        <w:t>A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HCT116</w:t>
      </w:r>
      <w:r>
        <w:rPr>
          <w:rStyle w:val="any"/>
          <w:rFonts w:ascii="PMingLiU" w:eastAsia="PMingLiU" w:hAnsi="PMingLiU" w:cs="PMingLiU"/>
          <w:spacing w:val="8"/>
        </w:rPr>
        <w:t>细胞和</w:t>
      </w:r>
      <w:r>
        <w:rPr>
          <w:rStyle w:val="any"/>
          <w:rFonts w:ascii="Times New Roman" w:eastAsia="Times New Roman" w:hAnsi="Times New Roman" w:cs="Times New Roman"/>
          <w:spacing w:val="8"/>
        </w:rPr>
        <w:t>B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SW480</w:t>
      </w:r>
      <w:r>
        <w:rPr>
          <w:rStyle w:val="any"/>
          <w:rFonts w:ascii="PMingLiU" w:eastAsia="PMingLiU" w:hAnsi="PMingLiU" w:cs="PMingLiU"/>
          <w:spacing w:val="8"/>
        </w:rPr>
        <w:t>细胞分别用相应</w:t>
      </w:r>
      <w:r>
        <w:rPr>
          <w:rStyle w:val="any"/>
          <w:rFonts w:ascii="Times New Roman" w:eastAsia="Times New Roman" w:hAnsi="Times New Roman" w:cs="Times New Roman"/>
          <w:spacing w:val="8"/>
        </w:rPr>
        <w:t>siRNA</w:t>
      </w:r>
      <w:r>
        <w:rPr>
          <w:rStyle w:val="any"/>
          <w:rFonts w:ascii="PMingLiU" w:eastAsia="PMingLiU" w:hAnsi="PMingLiU" w:cs="PMingLiU"/>
          <w:spacing w:val="8"/>
        </w:rPr>
        <w:t>转染。培养</w:t>
      </w:r>
      <w:r>
        <w:rPr>
          <w:rStyle w:val="any"/>
          <w:rFonts w:ascii="Times New Roman" w:eastAsia="Times New Roman" w:hAnsi="Times New Roman" w:cs="Times New Roman"/>
          <w:spacing w:val="8"/>
        </w:rPr>
        <w:t>48</w:t>
      </w:r>
      <w:r>
        <w:rPr>
          <w:rStyle w:val="any"/>
          <w:rFonts w:ascii="PMingLiU" w:eastAsia="PMingLiU" w:hAnsi="PMingLiU" w:cs="PMingLiU"/>
          <w:spacing w:val="8"/>
        </w:rPr>
        <w:t>小时后，收集细胞，用</w:t>
      </w:r>
      <w:r>
        <w:rPr>
          <w:rStyle w:val="any"/>
          <w:rFonts w:ascii="Times New Roman" w:eastAsia="Times New Roman" w:hAnsi="Times New Roman" w:cs="Times New Roman"/>
          <w:spacing w:val="8"/>
        </w:rPr>
        <w:t>Annexin V/PI</w:t>
      </w:r>
      <w:r>
        <w:rPr>
          <w:rStyle w:val="any"/>
          <w:rFonts w:ascii="PMingLiU" w:eastAsia="PMingLiU" w:hAnsi="PMingLiU" w:cs="PMingLiU"/>
          <w:spacing w:val="8"/>
        </w:rPr>
        <w:t>染色，并通过流式细胞术进行分析。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9253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8235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2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蓝绿色框标记了一个与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Yu &amp; Chai (2017) </w:t>
      </w:r>
      <w:r>
        <w:rPr>
          <w:rStyle w:val="any"/>
          <w:rFonts w:ascii="PMingLiU" w:eastAsia="PMingLiU" w:hAnsi="PMingLiU" w:cs="PMingLiU"/>
          <w:spacing w:val="8"/>
        </w:rPr>
        <w:t>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1F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Long et al (2017) </w:t>
      </w:r>
      <w:r>
        <w:rPr>
          <w:rStyle w:val="any"/>
          <w:rFonts w:ascii="PMingLiU" w:eastAsia="PMingLiU" w:hAnsi="PMingLiU" w:cs="PMingLiU"/>
          <w:spacing w:val="8"/>
        </w:rPr>
        <w:t>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3A </w:t>
      </w:r>
      <w:r>
        <w:rPr>
          <w:rStyle w:val="any"/>
          <w:rFonts w:ascii="PMingLiU" w:eastAsia="PMingLiU" w:hAnsi="PMingLiU" w:cs="PMingLiU"/>
          <w:spacing w:val="8"/>
        </w:rPr>
        <w:t>中的面板非常相似的面板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2039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2682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3563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048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桃色框标记了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Li et al (2019) 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3A </w:t>
      </w:r>
      <w:r>
        <w:rPr>
          <w:rStyle w:val="any"/>
          <w:rFonts w:ascii="PMingLiU" w:eastAsia="PMingLiU" w:hAnsi="PMingLiU" w:cs="PMingLiU"/>
          <w:spacing w:val="8"/>
        </w:rPr>
        <w:t>中与图像匹配的面板。匹配度并不完美，左侧象限的相似度更高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7221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1598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7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更新：深灰色矩形区域与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Tang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Yang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Zhang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2017</w:t>
      </w:r>
      <w:r>
        <w:rPr>
          <w:rStyle w:val="any"/>
          <w:rFonts w:ascii="PMingLiU" w:eastAsia="PMingLiU" w:hAnsi="PMingLiU" w:cs="PMingLiU"/>
          <w:spacing w:val="8"/>
        </w:rPr>
        <w:t>）文章中图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2A </w:t>
      </w:r>
      <w:r>
        <w:rPr>
          <w:rStyle w:val="any"/>
          <w:rFonts w:ascii="PMingLiU" w:eastAsia="PMingLiU" w:hAnsi="PMingLiU" w:cs="PMingLiU"/>
          <w:spacing w:val="8"/>
        </w:rPr>
        <w:t>的第二张图像相匹配。该图描述的是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“Vitexin </w:t>
      </w:r>
      <w:r>
        <w:rPr>
          <w:rStyle w:val="any"/>
          <w:rFonts w:ascii="PMingLiU" w:eastAsia="PMingLiU" w:hAnsi="PMingLiU" w:cs="PMingLiU"/>
          <w:spacing w:val="8"/>
        </w:rPr>
        <w:t>抑制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H9c2 </w:t>
      </w:r>
      <w:r>
        <w:rPr>
          <w:rStyle w:val="any"/>
          <w:rFonts w:ascii="PMingLiU" w:eastAsia="PMingLiU" w:hAnsi="PMingLiU" w:cs="PMingLiU"/>
          <w:spacing w:val="8"/>
        </w:rPr>
        <w:t>细胞在心肌缺血再灌注（</w:t>
      </w:r>
      <w:r>
        <w:rPr>
          <w:rStyle w:val="any"/>
          <w:rFonts w:ascii="Times New Roman" w:eastAsia="Times New Roman" w:hAnsi="Times New Roman" w:cs="Times New Roman"/>
          <w:spacing w:val="8"/>
        </w:rPr>
        <w:t>MI/R</w:t>
      </w:r>
      <w:r>
        <w:rPr>
          <w:rStyle w:val="any"/>
          <w:rFonts w:ascii="PMingLiU" w:eastAsia="PMingLiU" w:hAnsi="PMingLiU" w:cs="PMingLiU"/>
          <w:spacing w:val="8"/>
        </w:rPr>
        <w:t>）损伤中的凋亡。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H9c2 </w:t>
      </w:r>
      <w:r>
        <w:rPr>
          <w:rStyle w:val="any"/>
          <w:rFonts w:ascii="PMingLiU" w:eastAsia="PMingLiU" w:hAnsi="PMingLiU" w:cs="PMingLiU"/>
          <w:spacing w:val="8"/>
        </w:rPr>
        <w:t>细胞被分为对照组、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MI/R </w:t>
      </w:r>
      <w:r>
        <w:rPr>
          <w:rStyle w:val="any"/>
          <w:rFonts w:ascii="PMingLiU" w:eastAsia="PMingLiU" w:hAnsi="PMingLiU" w:cs="PMingLiU"/>
          <w:spacing w:val="8"/>
        </w:rPr>
        <w:t>模型组以及分别接受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Vitexin </w:t>
      </w:r>
      <w:r>
        <w:rPr>
          <w:rStyle w:val="any"/>
          <w:rFonts w:ascii="PMingLiU" w:eastAsia="PMingLiU" w:hAnsi="PMingLiU" w:cs="PMingLiU"/>
          <w:spacing w:val="8"/>
        </w:rPr>
        <w:t>处理（</w:t>
      </w:r>
      <w:r>
        <w:rPr>
          <w:rStyle w:val="any"/>
          <w:rFonts w:ascii="Times New Roman" w:eastAsia="Times New Roman" w:hAnsi="Times New Roman" w:cs="Times New Roman"/>
          <w:spacing w:val="8"/>
        </w:rPr>
        <w:t>50 μM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100 μM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200 μM</w:t>
      </w:r>
      <w:r>
        <w:rPr>
          <w:rStyle w:val="any"/>
          <w:rFonts w:ascii="PMingLiU" w:eastAsia="PMingLiU" w:hAnsi="PMingLiU" w:cs="PMingLiU"/>
          <w:spacing w:val="8"/>
        </w:rPr>
        <w:t>）的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MI/R + Vitexin </w:t>
      </w:r>
      <w:r>
        <w:rPr>
          <w:rStyle w:val="any"/>
          <w:rFonts w:ascii="PMingLiU" w:eastAsia="PMingLiU" w:hAnsi="PMingLiU" w:cs="PMingLiU"/>
          <w:spacing w:val="8"/>
        </w:rPr>
        <w:t>治疗组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63576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6712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再次指出：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] 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5A,B</w:t>
      </w:r>
      <w:r>
        <w:rPr>
          <w:rStyle w:val="any"/>
          <w:rFonts w:ascii="PMingLiU" w:eastAsia="PMingLiU" w:hAnsi="PMingLiU" w:cs="PMingLiU"/>
          <w:spacing w:val="8"/>
        </w:rPr>
        <w:t>，该图先前出现在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] 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5A,B </w:t>
      </w:r>
      <w:r>
        <w:rPr>
          <w:rStyle w:val="any"/>
          <w:rFonts w:ascii="PMingLiU" w:eastAsia="PMingLiU" w:hAnsi="PMingLiU" w:cs="PMingLiU"/>
          <w:spacing w:val="8"/>
        </w:rPr>
        <w:t>中，题为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敲低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TRIM11 </w:t>
      </w:r>
      <w:r>
        <w:rPr>
          <w:rStyle w:val="any"/>
          <w:rFonts w:ascii="PMingLiU" w:eastAsia="PMingLiU" w:hAnsi="PMingLiU" w:cs="PMingLiU"/>
          <w:spacing w:val="8"/>
        </w:rPr>
        <w:t>可抑制卵巢癌细胞的增殖和侵袭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Chen et al 2017</w:t>
      </w:r>
      <w:r>
        <w:rPr>
          <w:rStyle w:val="any"/>
          <w:rFonts w:ascii="PMingLiU" w:eastAsia="PMingLiU" w:hAnsi="PMingLiU" w:cs="PMingLiU"/>
          <w:spacing w:val="8"/>
        </w:rPr>
        <w:t>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082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210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发布了本文的撤稿声明：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于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25</w:t>
      </w:r>
      <w:r>
        <w:rPr>
          <w:rStyle w:val="any"/>
          <w:rFonts w:ascii="PMingLiU" w:eastAsia="PMingLiU" w:hAnsi="PMingLiU" w:cs="PMingLiU"/>
          <w:spacing w:val="8"/>
        </w:rPr>
        <w:t>日撤稿。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上述文章最初于</w:t>
      </w:r>
      <w:r>
        <w:rPr>
          <w:rStyle w:val="any"/>
          <w:rFonts w:ascii="Times New Roman" w:eastAsia="Times New Roman" w:hAnsi="Times New Roman" w:cs="Times New Roman"/>
          <w:spacing w:val="8"/>
        </w:rPr>
        <w:t>2018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5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15</w:t>
      </w:r>
      <w:r>
        <w:rPr>
          <w:rStyle w:val="any"/>
          <w:rFonts w:ascii="PMingLiU" w:eastAsia="PMingLiU" w:hAnsi="PMingLiU" w:cs="PMingLiU"/>
          <w:spacing w:val="8"/>
        </w:rPr>
        <w:t>日在线发表在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Wiley Online Library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wileyonlinelibrary.com</w:t>
      </w:r>
      <w:r>
        <w:rPr>
          <w:rStyle w:val="any"/>
          <w:rFonts w:ascii="PMingLiU" w:eastAsia="PMingLiU" w:hAnsi="PMingLiU" w:cs="PMingLiU"/>
          <w:spacing w:val="8"/>
        </w:rPr>
        <w:t>）上，现已由期刊主编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Christian Behl </w:t>
      </w:r>
      <w:r>
        <w:rPr>
          <w:rStyle w:val="any"/>
          <w:rFonts w:ascii="PMingLiU" w:eastAsia="PMingLiU" w:hAnsi="PMingLiU" w:cs="PMingLiU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Wiley Periodicals LLC </w:t>
      </w:r>
      <w:r>
        <w:rPr>
          <w:rStyle w:val="any"/>
          <w:rFonts w:ascii="PMingLiU" w:eastAsia="PMingLiU" w:hAnsi="PMingLiU" w:cs="PMingLiU"/>
          <w:spacing w:val="8"/>
        </w:rPr>
        <w:t>协商一致撤回。撤稿决定是由于第三方提出的质疑。文章中的图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</w:t>
      </w:r>
      <w:r>
        <w:rPr>
          <w:rStyle w:val="any"/>
          <w:rFonts w:ascii="PMingLiU" w:eastAsia="PMingLiU" w:hAnsi="PMingLiU" w:cs="PMingLiU"/>
          <w:spacing w:val="8"/>
        </w:rPr>
        <w:t>、图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5A 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5B </w:t>
      </w:r>
      <w:r>
        <w:rPr>
          <w:rStyle w:val="any"/>
          <w:rFonts w:ascii="PMingLiU" w:eastAsia="PMingLiU" w:hAnsi="PMingLiU" w:cs="PMingLiU"/>
          <w:spacing w:val="8"/>
        </w:rPr>
        <w:t>中的图像元素被发现曾由不同作者、在不同的科研背景下发表过。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编辑部曾邀请作者对相关质疑做出回应，但未收到任何回复。因此，编辑部对该研究中所展示的全部数据的完整性与可靠性失去了信心，并认定文章的结论无效，决定予以撤稿。作者已被正式通知此撤稿决定。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https://pubpeer.com/publications/56FA25C7DDDCEA1354386A2D19D373#0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QQ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3953278353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562100" cy="157162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2133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4" w:anchor="wechat_redirect" w:tgtFrame="_blank" w:tooltip="辽宁省肿瘤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辽宁省肿瘤医院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s://mp.weixin.qq.com/mp/appmsgalbum?__biz=MzkyNzY3NzY3Nw==&amp;action=getalbum&amp;album_id=3616563297429913604" TargetMode="Externa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1987&amp;idx=7&amp;sn=b19fb7d201985eb5ad944e0741a4eb0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