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天津医科大学总医院普外科何向辉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6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4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1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47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何向辉，天津医科大学总医院，普通外科，主任医师，教授，博士，博士生导师。擅长甲状腺，甲状旁腺等内分泌外科疾病的诊断治疗。天津医科大学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以来作为主持国家自然科学基金课题两项，教育部回国留学人员科研启动基金课题一项，天津市自然科学基金项目一项，天津市高等教育科技发展基金课题一项，天津医科大学科研基金资助课题一项。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28&amp;idx=5&amp;sn=9af3a92987f08560a6783e3402fb7fc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