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天津大学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&amp;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中国医学科学院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&amp;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北京协和医学院的论文被质疑，因图像面板多处重叠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净研行动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净研行动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2025-04-14 13:53:37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浙江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C1D10"/>
        <w:spacing w:before="0" w:after="75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 w:firstLine="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1920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BFBFBF"/>
          <w:spacing w:val="9"/>
          <w:sz w:val="120"/>
          <w:szCs w:val="120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BFBFBF"/>
          <w:spacing w:val="9"/>
          <w:sz w:val="120"/>
          <w:szCs w:val="120"/>
        </w:rPr>
        <w:t>01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AC1D10"/>
          <w:spacing w:val="22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9A3030"/>
          <w:spacing w:val="22"/>
          <w:sz w:val="27"/>
          <w:szCs w:val="27"/>
        </w:rPr>
        <w:t>问题论文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C1D10"/>
        <w:spacing w:before="0" w:after="75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 w:firstLine="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标题：</w:t>
      </w:r>
      <w:r>
        <w:rPr>
          <w:rStyle w:val="any"/>
          <w:rFonts w:ascii="Microsoft YaHei UI" w:eastAsia="Microsoft YaHei UI" w:hAnsi="Microsoft YaHei UI" w:cs="Microsoft YaHei UI"/>
          <w:color w:val="9A3030"/>
          <w:spacing w:val="9"/>
          <w:sz w:val="21"/>
          <w:szCs w:val="21"/>
        </w:rPr>
        <w:t>Nonfouling Core-Shell Microneedle for Sequential and Sustained Drug Release: Enhancing Synergistic Photothermal Chemotherapy in Melanoma Treatment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期刊：ACS Applied Bio Materials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单位：</w:t>
      </w:r>
      <w:r>
        <w:rPr>
          <w:rStyle w:val="any"/>
          <w:rFonts w:ascii="Microsoft YaHei UI" w:eastAsia="Microsoft YaHei UI" w:hAnsi="Microsoft YaHei UI" w:cs="Microsoft YaHei UI"/>
          <w:color w:val="9A3030"/>
          <w:spacing w:val="9"/>
          <w:sz w:val="21"/>
          <w:szCs w:val="21"/>
        </w:rPr>
        <w:t>天津大学&amp;中国医学科学院&amp;北京协和医学院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发表时间：2025年4月3日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DOI: 10.1021/acsabm.5c00120</w:t>
      </w: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br/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5486400" cy="166116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392177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661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 w:line="336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91592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087887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915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1920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BFBFBF"/>
          <w:spacing w:val="9"/>
          <w:sz w:val="120"/>
          <w:szCs w:val="120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BFBFBF"/>
          <w:spacing w:val="9"/>
          <w:sz w:val="120"/>
          <w:szCs w:val="120"/>
        </w:rPr>
        <w:t>02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AC1D10"/>
          <w:spacing w:val="22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9A3030"/>
          <w:spacing w:val="22"/>
          <w:sz w:val="27"/>
          <w:szCs w:val="27"/>
        </w:rPr>
        <w:t>具体说明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C1D10"/>
        <w:spacing w:before="0" w:after="75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 </w:t>
      </w:r>
      <w:r>
        <w:rPr>
          <w:rStyle w:val="any"/>
          <w:rFonts w:ascii="Cambria Math" w:eastAsia="Cambria Math" w:hAnsi="Cambria Math" w:cs="Cambria Math"/>
          <w:color w:val="3E3E3E"/>
          <w:spacing w:val="9"/>
          <w:sz w:val="21"/>
          <w:szCs w:val="21"/>
        </w:rPr>
        <w:t>①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 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图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 xml:space="preserve"> 4 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中，图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（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A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）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中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“PAMAM 48 h”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下显示的荧光显微镜图像似乎与图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（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B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）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中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“DOX@PAMAM-TM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，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48 h”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下显示的图像相同，尽管被标记为具有不同成分的不同处理。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4371975" cy="476250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962273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371975" cy="476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line="336" w:lineRule="atLeast"/>
        <w:ind w:left="300" w:right="300"/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</w:pPr>
      <w:r>
        <w:rPr>
          <w:rStyle w:val="any"/>
          <w:rFonts w:ascii="Cambria Math" w:eastAsia="Cambria Math" w:hAnsi="Cambria Math" w:cs="Cambria Math"/>
          <w:color w:val="3E3E3E"/>
          <w:spacing w:val="9"/>
          <w:sz w:val="21"/>
          <w:szCs w:val="21"/>
        </w:rPr>
        <w:t>②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 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图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 xml:space="preserve"> 7c 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中，标记为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 xml:space="preserve">“DOX@PAMAM-TM 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微针贴片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（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V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）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”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的荧光图像在旋转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 xml:space="preserve"> 180 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度后似乎与标记为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 xml:space="preserve">“DOX@PAMAM-TM/ICG 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微针贴片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 xml:space="preserve"> + NIR 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（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VIII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）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”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的图像相似。尽管荧光强度存在差异，但空间模式、组织结构和荧光分布几乎相同。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086350" cy="3114675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932377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086350" cy="3114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参考信息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spacing w:val="9"/>
          <w:sz w:val="20"/>
          <w:szCs w:val="20"/>
        </w:rPr>
        <w:t>https://pubs.acs.org/doi/10.1021/acsabm.5c00120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FFFFFF"/>
        </w:rPr>
        <w:t>提供线索或对推文存在疑义，请联系邮箱：jxscuijian@163.com</w:t>
      </w:r>
    </w:p>
    <w:p>
      <w:pPr>
        <w:shd w:val="clear" w:color="auto" w:fill="9A3030"/>
        <w:spacing w:before="150" w:after="150" w:line="420" w:lineRule="atLeast"/>
        <w:ind w:left="510" w:right="510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</w:rPr>
        <w:drawing>
          <wp:inline>
            <wp:extent cx="952500" cy="95250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481947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9A3030"/>
        <w:spacing w:before="0" w:after="150" w:line="420" w:lineRule="atLeast"/>
        <w:ind w:left="810" w:right="510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  <w:vertAlign w:val="baseline"/>
        </w:rPr>
        <w:drawing>
          <wp:inline>
            <wp:extent cx="323850" cy="264968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289385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264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9A3030"/>
        <w:spacing w:before="0" w:after="150" w:line="600" w:lineRule="atLeast"/>
        <w:ind w:left="900" w:right="510"/>
        <w:jc w:val="center"/>
        <w:rPr>
          <w:rStyle w:val="any"/>
          <w:rFonts w:ascii="Times New Roman" w:eastAsia="Times New Roman" w:hAnsi="Times New Roman" w:cs="Times New Roman"/>
          <w:color w:val="FFFFFF"/>
          <w:spacing w:val="30"/>
          <w:sz w:val="30"/>
          <w:szCs w:val="30"/>
        </w:rPr>
      </w:pPr>
      <w:r>
        <w:rPr>
          <w:rStyle w:val="any"/>
          <w:rFonts w:ascii="PMingLiU" w:eastAsia="PMingLiU" w:hAnsi="PMingLiU" w:cs="PMingLiU"/>
          <w:b/>
          <w:bCs/>
          <w:color w:val="FFFFFF"/>
          <w:spacing w:val="30"/>
          <w:sz w:val="30"/>
          <w:szCs w:val="30"/>
        </w:rPr>
        <w:t>微信搜一搜</w:t>
      </w:r>
    </w:p>
    <w:p>
      <w:pPr>
        <w:shd w:val="clear" w:color="auto" w:fill="FFFFFF"/>
        <w:spacing w:before="45" w:after="150" w:line="420" w:lineRule="atLeast"/>
        <w:ind w:left="960" w:right="660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  <w:vertAlign w:val="baseline"/>
        </w:rPr>
        <w:drawing>
          <wp:inline>
            <wp:extent cx="190500" cy="178210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6043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78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150" w:line="540" w:lineRule="atLeast"/>
        <w:ind w:left="1020" w:right="660"/>
        <w:jc w:val="center"/>
        <w:rPr>
          <w:rStyle w:val="any"/>
          <w:rFonts w:ascii="Times New Roman" w:eastAsia="Times New Roman" w:hAnsi="Times New Roman" w:cs="Times New Roman"/>
          <w:color w:val="222222"/>
          <w:spacing w:val="22"/>
          <w:sz w:val="27"/>
          <w:szCs w:val="27"/>
        </w:rPr>
      </w:pPr>
      <w:r>
        <w:rPr>
          <w:rStyle w:val="any"/>
          <w:rFonts w:ascii="Times New Roman" w:eastAsia="Times New Roman" w:hAnsi="Times New Roman" w:cs="Times New Roman"/>
          <w:color w:val="222222"/>
          <w:spacing w:val="22"/>
          <w:sz w:val="27"/>
          <w:szCs w:val="27"/>
        </w:rPr>
        <w:t> </w:t>
      </w:r>
      <w:r>
        <w:rPr>
          <w:rStyle w:val="any"/>
          <w:rFonts w:ascii="PMingLiU" w:eastAsia="PMingLiU" w:hAnsi="PMingLiU" w:cs="PMingLiU"/>
          <w:color w:val="222222"/>
          <w:spacing w:val="22"/>
          <w:sz w:val="27"/>
          <w:szCs w:val="27"/>
        </w:rPr>
        <w:t>净研行动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jpeg" /><Relationship Id="rId11" Type="http://schemas.openxmlformats.org/officeDocument/2006/relationships/image" Target="media/image6.png" /><Relationship Id="rId12" Type="http://schemas.openxmlformats.org/officeDocument/2006/relationships/image" Target="media/image7.png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1NzE0NTE5Mg==&amp;mid=2247489717&amp;idx=5&amp;sn=b8fb591f19b4f44810a5812739649567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