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合作成果受挑战：中山大学附属第八医院放射科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&amp;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扬州市江都人民医院肿瘤科研究遭质疑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11:04:00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83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近日，《Annals of Translational Medicine》期刊2020年发表的研究‘Long non-coding RNA LSINCT5 inactivates Wnt/β-catenin pathway to regulate MCF-7 cell proliferation and motility through targeting the miR-30a’受到评论人质疑。该研究由Guizhi Zhang , Wenbo Song（通讯作者）共同完成，通讯作者Wenbo Song单位为扬州大学附属江都人民医院 (扬州市江都人民医院）肿瘤科，第一作者Guizhi Zhang单位为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中山大学附属第八医院放射科。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3401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54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6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2023年9月评论人Hoya camphorifolia指出本文与多篇研究图像重复：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950208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3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2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41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56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2941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90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963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66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29425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58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https://pubpeer.org/publications/9585F7382557EF42811175451FF0EC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149&amp;idx=1&amp;sn=ccfbc558bbb4235960861339235e2e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