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9330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8281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66796"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3529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0818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