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存在两处重叠面板且描述不同，福建医科大学孟超肝胆医院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福州大学的论文被质疑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32798544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10:44:03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89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5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11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日，福建医科大学孟超肝胆医院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福州大学在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IF=7.7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"Manufacture of pH- and HAase-responsive hydrogels with on-demand and continuous antibacterial activity for full-thickness wound healing"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制造具有按需和持续抗菌活性的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pH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HAase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响应型水凝胶，用于全厚伤口愈合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第一作者：福建医科大学孟超肝胆医院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Shengcan Guan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，福州大学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Ya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通讯作者：福建医科大学孟超肝胆医院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Hanhui Ye(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叶寒辉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福州大学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Xiao Han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韩霄），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Cui Cheng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程翠）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本研究获以下项目资助：国家自然科学基金（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81901896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）；天津大学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-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福州大学自主创新基金（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TF2020-8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）；中华人民共和国福建省福州市临床医学中心建设项目（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201808030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）；中华人民共和国福建省临床重点专科建设项目；中华人民共和国福建省福州市卫生和计划生育系统科技项目（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2016-S-wt7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499047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93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000000" cy="323809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06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19048" cy="348571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906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3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77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7b contains multiple panels that appear more similar than expected, esp. between Gel 1 and Gel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276190" cy="59238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813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https://pubpeer.com/publications/26E8BB647234A14117E8246E8C4B25#0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https://pubmed.ncbi.nlm.nih.gov/32798544/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55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92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55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620&amp;idx=3&amp;sn=726d9d74beb544f52022a58f70e81b7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