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上海药物研究所耿美玉团队更正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Hepatology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文章后，还是存在图片重复使用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15:26:05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[1]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2018年3月24日，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中国科学院上海药物研究所耿美玉团队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000000"/>
          <w:spacing w:val="9"/>
          <w:sz w:val="23"/>
          <w:szCs w:val="23"/>
        </w:rPr>
        <w:t>Hepatology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9"/>
          <w:sz w:val="23"/>
          <w:szCs w:val="23"/>
        </w:rPr>
        <w:t>Identification and Therapeutic Intervention of Coactivated Anaplastic Lymphoma Kinase, Fibroblast Growth Factor Receptor 2, and Ephrin Type-A Receptor 5 Kinases in Hepatocellular Carcinoma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”的研究论文（2019年12月20日该文章已经更正过3对重复的图片）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文章内存在4对图片重复使用（其中3对图片已经更正过）。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011280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9400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01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1228725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3183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对所有图片（非蛋白印迹）进行检测，iFigures发现文章内3对图片重复：图3C-11，3C-12及3C-13是来自同一张切片（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2019年12月20日作者更正过图3C-13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），3C-21与3C-24出现部分重叠（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2019年12月20日作者更正过图3C-24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5202857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3760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520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诚信科研将3C-11及3C-12放大，发现这2张图片明显的重叠。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462197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8798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6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诚信科研用iProteins检测对应的蛋白印迹，发现图1C-5与1E-5是一样的图片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2019年12月20日作者更正过图1C-5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）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796176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727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79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1C-5_1E-5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108960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596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与杂志社联系再次更正文章重复的图片。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另外，诚信科研注意到，Pubpeer上使用某不靠谱线上系统，只能检出3对图片重复。如若使用如此的系统，势必会给学者造成无法挽回的学术声誉损害。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参考消息：</w:t>
      </w:r>
    </w:p>
    <w:p>
      <w:pPr>
        <w:widowControl/>
        <w:shd w:val="clear" w:color="auto" w:fill="FFFFFF"/>
        <w:spacing w:before="0" w:after="240" w:line="262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15"/>
          <w:szCs w:val="15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15"/>
          <w:szCs w:val="15"/>
        </w:rPr>
        <w:t>https://pubpeer.com/publications/B3CB4E95F3EFBCA1E88B45D2C87A83#0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457&amp;idx=1&amp;sn=e35a1f566f85d76c9f689a1c3176e11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