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上海药物研究所耿美玉团队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Hepatology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文章更正后，依旧存在图片重复使用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15:22:23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[1]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2018年3月24日，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中国科学院上海药物研究所耿美玉团队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000000"/>
          <w:spacing w:val="9"/>
          <w:sz w:val="23"/>
          <w:szCs w:val="23"/>
        </w:rPr>
        <w:t>Hepatology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9"/>
          <w:sz w:val="23"/>
          <w:szCs w:val="23"/>
        </w:rPr>
        <w:t>Identification and Therapeutic Intervention of Coactivated Anaplastic Lymphoma Kinase, Fibroblast Growth Factor Receptor 2, and Ephrin Type-A Receptor 5 Kinases in Hepatocellular Carcinoma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”的研究论文（2019年12月20日该文章已经更正过3对重复的图片）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3"/>
          <w:szCs w:val="23"/>
        </w:rPr>
        <w:t>文章内存在4对图片重复使用（其中3对图片已经更正过）。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01128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4245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01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228725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09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对所有图片（非蛋白印迹）进行检测，iFigures发现文章内3对图片重复：图3C-11，3C-12及3C-13是来自同一张切片（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2019年12月20日作者更正过图3C-13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），3C-21与3C-24出现部分重叠（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2019年12月20日作者更正过图3C-24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202857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6525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20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诚信科研将3C-11及3C-12放大，发现这2张图片明显的重叠。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62197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4577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6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诚信科研用iProteins检测对应的蛋白印迹，发现图1C-5与1E-5是一样的图片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2019年12月20日作者更正过图1C-5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）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96176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2701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9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3"/>
          <w:szCs w:val="23"/>
        </w:rPr>
        <w:t>1C-5_1E-5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108960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568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与杂志社联系再次更正文章重复的图片。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另外，诚信科研注意到，Pubpeer上使用某不靠谱线上系统，只能检出3对图片重复。如若使用如此的系统，势必会给学者造成无法挽回的学术声誉损害。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参考消息：</w:t>
      </w:r>
    </w:p>
    <w:p>
      <w:pPr>
        <w:widowControl/>
        <w:shd w:val="clear" w:color="auto" w:fill="FFFFFF"/>
        <w:spacing w:before="0" w:after="240" w:line="262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15"/>
          <w:szCs w:val="15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https://pubpeer.com/publications/B3CB4E95F3EFBCA1E88B45D2C87A83#0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892&amp;idx=1&amp;sn=30e502ba4b215529d15451c69738ab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