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哈尔滨医科大学附属第二医院普外科主任医师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 Fujing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（王夫景）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40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 receptor inhibits proliferation of human colorectal cancer cells via the miR?135A1/CCNG2 signaling pathway</w:t>
      </w:r>
      <w:r>
        <w:rPr>
          <w:rStyle w:val="any"/>
          <w:rFonts w:ascii="PMingLiU" w:eastAsia="PMingLiU" w:hAnsi="PMingLiU" w:cs="PMingLiU"/>
          <w:spacing w:val="8"/>
        </w:rPr>
        <w:t>（法尼醇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受体通过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 ? 135A1 / CCNG2</w:t>
      </w:r>
      <w:r>
        <w:rPr>
          <w:rStyle w:val="any"/>
          <w:rFonts w:ascii="PMingLiU" w:eastAsia="PMingLiU" w:hAnsi="PMingLiU" w:cs="PMingLiU"/>
          <w:spacing w:val="8"/>
        </w:rPr>
        <w:t>信号通路抑制人结直肠癌细胞增殖）的论文在《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10.3892/or.2018.6636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对该论文提出质疑，认为图像重复，要求提供原始照片，作者一直未回复。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89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</w:t>
      </w:r>
      <w:r>
        <w:rPr>
          <w:rStyle w:val="any"/>
          <w:rFonts w:ascii="PMingLiU" w:eastAsia="PMingLiU" w:hAnsi="PMingLiU" w:cs="PMingLiU"/>
          <w:spacing w:val="8"/>
        </w:rPr>
        <w:t>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14</w:t>
      </w:r>
      <w:r>
        <w:rPr>
          <w:rStyle w:val="any"/>
          <w:rFonts w:ascii="PMingLiU" w:eastAsia="PMingLiU" w:hAnsi="PMingLiU" w:cs="PMingLiU"/>
          <w:spacing w:val="8"/>
        </w:rPr>
        <w:t>日撤</w:t>
      </w:r>
      <w:r>
        <w:rPr>
          <w:rStyle w:val="any"/>
          <w:rFonts w:ascii="PMingLiU" w:eastAsia="PMingLiU" w:hAnsi="PMingLiU" w:cs="PMingLiU"/>
          <w:spacing w:val="8"/>
        </w:rPr>
        <w:t>回论文。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25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9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结直肠癌（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）是消化系统最常见的恶性肿瘤之一。</w:t>
      </w:r>
      <w:r>
        <w:rPr>
          <w:rStyle w:val="any"/>
          <w:rFonts w:ascii="Times New Roman" w:eastAsia="Times New Roman" w:hAnsi="Times New Roman" w:cs="Times New Roman"/>
          <w:spacing w:val="8"/>
        </w:rPr>
        <w:t>miRNA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Farnesoid X</w:t>
      </w:r>
      <w:r>
        <w:rPr>
          <w:rStyle w:val="any"/>
          <w:rFonts w:ascii="PMingLiU" w:eastAsia="PMingLiU" w:hAnsi="PMingLiU" w:cs="PMingLiU"/>
          <w:spacing w:val="8"/>
        </w:rPr>
        <w:t>受体（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）的失调参与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的进展。在本研究中，评估了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中的影响。逆转录定量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聚合酶链反应（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）用于检查患者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组织和相邻的非肿瘤组织中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的表达以及细胞系。还研究了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患者的临床特征之间的关联。</w:t>
      </w:r>
      <w:r>
        <w:rPr>
          <w:rStyle w:val="any"/>
          <w:rFonts w:ascii="Times New Roman" w:eastAsia="Times New Roman" w:hAnsi="Times New Roman" w:cs="Times New Roman"/>
          <w:spacing w:val="8"/>
        </w:rPr>
        <w:t>RT-QPCR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Western</w:t>
      </w:r>
      <w:r>
        <w:rPr>
          <w:rStyle w:val="any"/>
          <w:rFonts w:ascii="PMingLiU" w:eastAsia="PMingLiU" w:hAnsi="PMingLiU" w:cs="PMingLiU"/>
          <w:spacing w:val="8"/>
        </w:rPr>
        <w:t>印迹用于评估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靶标的表达。使用荧光素酶测定确认了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对细胞周期蛋白</w:t>
      </w:r>
      <w:r>
        <w:rPr>
          <w:rStyle w:val="any"/>
          <w:rFonts w:ascii="Times New Roman" w:eastAsia="Times New Roman" w:hAnsi="Times New Roman" w:cs="Times New Roman"/>
          <w:spacing w:val="8"/>
        </w:rPr>
        <w:t>G2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）的调节。使用菌落形成测定，流式细胞术和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测定法，在转染和未转染的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细胞系中评估了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的生物学作用。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标本和细胞系中上调。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的表达与细胞分化差，碳水化合物抗原（</w:t>
      </w:r>
      <w:r>
        <w:rPr>
          <w:rStyle w:val="any"/>
          <w:rFonts w:ascii="Times New Roman" w:eastAsia="Times New Roman" w:hAnsi="Times New Roman" w:cs="Times New Roman"/>
          <w:spacing w:val="8"/>
        </w:rPr>
        <w:t>CA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125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CA199</w:t>
      </w:r>
      <w:r>
        <w:rPr>
          <w:rStyle w:val="any"/>
          <w:rFonts w:ascii="PMingLiU" w:eastAsia="PMingLiU" w:hAnsi="PMingLiU" w:cs="PMingLiU"/>
          <w:spacing w:val="8"/>
        </w:rPr>
        <w:t>，癌腹乳晶抗原和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患者的存活率的高表达密切相关。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的表达在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患者和细胞系中被下调，进一步证明是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的下游靶标。本研究表明，抑制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表达会导致细胞周期停滞和通过增加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表达的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细胞增殖。在本研究中，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</w:t>
      </w:r>
      <w:r>
        <w:rPr>
          <w:rStyle w:val="any"/>
          <w:rFonts w:ascii="PMingLiU" w:eastAsia="PMingLiU" w:hAnsi="PMingLiU" w:cs="PMingLiU"/>
          <w:spacing w:val="8"/>
        </w:rPr>
        <w:t>表达增加了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的激活增加了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CCNG2</w:t>
      </w:r>
      <w:r>
        <w:rPr>
          <w:rStyle w:val="any"/>
          <w:rFonts w:ascii="PMingLiU" w:eastAsia="PMingLiU" w:hAnsi="PMingLiU" w:cs="PMingLiU"/>
          <w:spacing w:val="8"/>
        </w:rPr>
        <w:t>的表达，并且证明</w:t>
      </w:r>
      <w:r>
        <w:rPr>
          <w:rStyle w:val="any"/>
          <w:rFonts w:ascii="Times New Roman" w:eastAsia="Times New Roman" w:hAnsi="Times New Roman" w:cs="Times New Roman"/>
          <w:spacing w:val="8"/>
        </w:rPr>
        <w:t>FXR/miR-135a1/ccng2</w:t>
      </w:r>
      <w:r>
        <w:rPr>
          <w:rStyle w:val="any"/>
          <w:rFonts w:ascii="PMingLiU" w:eastAsia="PMingLiU" w:hAnsi="PMingLiU" w:cs="PMingLiU"/>
          <w:spacing w:val="8"/>
        </w:rPr>
        <w:t>轴均参与介导细胞增殖。总之，</w:t>
      </w:r>
      <w:r>
        <w:rPr>
          <w:rStyle w:val="any"/>
          <w:rFonts w:ascii="Times New Roman" w:eastAsia="Times New Roman" w:hAnsi="Times New Roman" w:cs="Times New Roman"/>
          <w:spacing w:val="8"/>
        </w:rPr>
        <w:t>GW4064</w:t>
      </w:r>
      <w:r>
        <w:rPr>
          <w:rStyle w:val="any"/>
          <w:rFonts w:ascii="PMingLiU" w:eastAsia="PMingLiU" w:hAnsi="PMingLiU" w:cs="PMingLiU"/>
          <w:spacing w:val="8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</w:rPr>
        <w:t>FXR</w:t>
      </w:r>
      <w:r>
        <w:rPr>
          <w:rStyle w:val="any"/>
          <w:rFonts w:ascii="PMingLiU" w:eastAsia="PMingLiU" w:hAnsi="PMingLiU" w:cs="PMingLiU"/>
          <w:spacing w:val="8"/>
        </w:rPr>
        <w:t>会抑制细胞增殖并导致</w:t>
      </w:r>
      <w:r>
        <w:rPr>
          <w:rStyle w:val="any"/>
          <w:rFonts w:ascii="Times New Roman" w:eastAsia="Times New Roman" w:hAnsi="Times New Roman" w:cs="Times New Roman"/>
          <w:spacing w:val="8"/>
        </w:rPr>
        <w:t>CRC</w:t>
      </w:r>
      <w:r>
        <w:rPr>
          <w:rStyle w:val="any"/>
          <w:rFonts w:ascii="PMingLiU" w:eastAsia="PMingLiU" w:hAnsi="PMingLiU" w:cs="PMingLiU"/>
          <w:spacing w:val="8"/>
        </w:rPr>
        <w:t>中的细胞周期停滞，并建议</w:t>
      </w:r>
      <w:r>
        <w:rPr>
          <w:rStyle w:val="any"/>
          <w:rFonts w:ascii="Times New Roman" w:eastAsia="Times New Roman" w:hAnsi="Times New Roman" w:cs="Times New Roman"/>
          <w:spacing w:val="8"/>
        </w:rPr>
        <w:t>MIR-135A1/CCNG2</w:t>
      </w:r>
      <w:r>
        <w:rPr>
          <w:rStyle w:val="any"/>
          <w:rFonts w:ascii="PMingLiU" w:eastAsia="PMingLiU" w:hAnsi="PMingLiU" w:cs="PMingLiU"/>
          <w:spacing w:val="8"/>
        </w:rPr>
        <w:t>途径参与此步骤。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22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4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省级高校基本科研业务费专项资金</w:t>
      </w:r>
      <w:r>
        <w:rPr>
          <w:rStyle w:val="any"/>
          <w:rFonts w:ascii="Times New Roman" w:eastAsia="Times New Roman" w:hAnsi="Times New Roman" w:cs="Times New Roman"/>
          <w:spacing w:val="8"/>
        </w:rPr>
        <w:t>[2017LCZX52]</w:t>
      </w:r>
      <w:r>
        <w:rPr>
          <w:rStyle w:val="any"/>
          <w:rFonts w:ascii="PMingLiU" w:eastAsia="PMingLiU" w:hAnsi="PMingLiU" w:cs="PMingLiU"/>
          <w:spacing w:val="8"/>
        </w:rPr>
        <w:t>；哈尔滨市科技攻关专项资金（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[0704008008]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Wang Fujing</w:t>
      </w:r>
      <w:r>
        <w:rPr>
          <w:rStyle w:val="any"/>
          <w:rFonts w:ascii="PMingLiU" w:eastAsia="PMingLiU" w:hAnsi="PMingLiU" w:cs="PMingLiU"/>
          <w:spacing w:val="8"/>
        </w:rPr>
        <w:t>（王</w:t>
      </w:r>
      <w:r>
        <w:rPr>
          <w:rStyle w:val="any"/>
          <w:rFonts w:ascii="PMingLiU" w:eastAsia="PMingLiU" w:hAnsi="PMingLiU" w:cs="PMingLiU"/>
          <w:spacing w:val="8"/>
        </w:rPr>
        <w:t>夫景），疑为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哈尔滨医科大学附属第二医院普外科主任医师，</w:t>
      </w:r>
      <w:r>
        <w:rPr>
          <w:rStyle w:val="any"/>
          <w:rFonts w:ascii="PMingLiU" w:eastAsia="PMingLiU" w:hAnsi="PMingLiU" w:cs="PMingLiU"/>
          <w:spacing w:val="8"/>
        </w:rPr>
        <w:t>教授、医学博士、博士研究生导师。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https://pubpeer.com/publications/F3823F2D31A61B1D9A38D33064D305#0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</w:rPr>
        <w:t>https://www.spandidos-publications.com/10.3892/or.2018.6636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5&amp;sn=bff19bb0a2707a1c43795be55740f0e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