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河南大学淮河医院神经内科主任医师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Hui-Min Liang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（音译：梁慧敏）团队论文被撤稿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22:57:09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6825" cy="229552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317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24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By up-regulating μ- and δ-opioid receptors, neuron-restrictive silencer factor knockdown promotes neurological recovery after ischemia</w:t>
      </w:r>
      <w:r>
        <w:rPr>
          <w:rStyle w:val="any"/>
          <w:rFonts w:ascii="PMingLiU" w:eastAsia="PMingLiU" w:hAnsi="PMingLiU" w:cs="PMingLiU"/>
          <w:spacing w:val="8"/>
        </w:rPr>
        <w:t>（通过上调</w:t>
      </w:r>
      <w:r>
        <w:rPr>
          <w:rStyle w:val="any"/>
          <w:rFonts w:ascii="Times New Roman" w:eastAsia="Times New Roman" w:hAnsi="Times New Roman" w:cs="Times New Roman"/>
          <w:spacing w:val="8"/>
        </w:rPr>
        <w:t>μ -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δ -</w:t>
      </w:r>
      <w:r>
        <w:rPr>
          <w:rStyle w:val="any"/>
          <w:rFonts w:ascii="PMingLiU" w:eastAsia="PMingLiU" w:hAnsi="PMingLiU" w:cs="PMingLiU"/>
          <w:spacing w:val="8"/>
        </w:rPr>
        <w:t>阿片受体，神经元限制性沉默因子敲低促进缺血后的神经功能恢复）的论文在《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10.18632/oncotarget.18195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对该论文提出质疑，认为图像与其它论文有重复。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4170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897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09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3217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3636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4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22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233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828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809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917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长达四年的追问，作者作者未有任何回复。该论文于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日被撤回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1976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571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我们研究了神经元限制性沉默因子（</w:t>
      </w:r>
      <w:r>
        <w:rPr>
          <w:rStyle w:val="any"/>
          <w:rFonts w:ascii="Times New Roman" w:eastAsia="Times New Roman" w:hAnsi="Times New Roman" w:cs="Times New Roman"/>
          <w:spacing w:val="8"/>
        </w:rPr>
        <w:t>NRSF</w:t>
      </w:r>
      <w:r>
        <w:rPr>
          <w:rStyle w:val="any"/>
          <w:rFonts w:ascii="PMingLiU" w:eastAsia="PMingLiU" w:hAnsi="PMingLiU" w:cs="PMingLiU"/>
          <w:spacing w:val="8"/>
        </w:rPr>
        <w:t>）对脑缺血后大鼠中内源性神经干细胞（</w:t>
      </w:r>
      <w:r>
        <w:rPr>
          <w:rStyle w:val="any"/>
          <w:rFonts w:ascii="Times New Roman" w:eastAsia="Times New Roman" w:hAnsi="Times New Roman" w:cs="Times New Roman"/>
          <w:spacing w:val="8"/>
        </w:rPr>
        <w:t>NSC</w:t>
      </w:r>
      <w:r>
        <w:rPr>
          <w:rStyle w:val="any"/>
          <w:rFonts w:ascii="PMingLiU" w:eastAsia="PMingLiU" w:hAnsi="PMingLiU" w:cs="PMingLiU"/>
          <w:spacing w:val="8"/>
        </w:rPr>
        <w:t>）以及</w:t>
      </w:r>
      <w:r>
        <w:rPr>
          <w:rStyle w:val="any"/>
          <w:rFonts w:ascii="Times New Roman" w:eastAsia="Times New Roman" w:hAnsi="Times New Roman" w:cs="Times New Roman"/>
          <w:spacing w:val="8"/>
        </w:rPr>
        <w:t>MU-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Delta-</w:t>
      </w:r>
      <w:r>
        <w:rPr>
          <w:rStyle w:val="any"/>
          <w:rFonts w:ascii="PMingLiU" w:eastAsia="PMingLiU" w:hAnsi="PMingLiU" w:cs="PMingLiU"/>
          <w:spacing w:val="8"/>
        </w:rPr>
        <w:t>阿片受体（</w:t>
      </w:r>
      <w:r>
        <w:rPr>
          <w:rStyle w:val="any"/>
          <w:rFonts w:ascii="Times New Roman" w:eastAsia="Times New Roman" w:hAnsi="Times New Roman" w:cs="Times New Roman"/>
          <w:spacing w:val="8"/>
        </w:rPr>
        <w:t>MOR/DOR</w:t>
      </w:r>
      <w:r>
        <w:rPr>
          <w:rStyle w:val="any"/>
          <w:rFonts w:ascii="PMingLiU" w:eastAsia="PMingLiU" w:hAnsi="PMingLiU" w:cs="PMingLiU"/>
          <w:spacing w:val="8"/>
        </w:rPr>
        <w:t>）表达的影响。在受到脑缺血的</w:t>
      </w:r>
      <w:r>
        <w:rPr>
          <w:rStyle w:val="any"/>
          <w:rFonts w:ascii="Times New Roman" w:eastAsia="Times New Roman" w:hAnsi="Times New Roman" w:cs="Times New Roman"/>
          <w:spacing w:val="8"/>
        </w:rPr>
        <w:t>100</w:t>
      </w:r>
      <w:r>
        <w:rPr>
          <w:rStyle w:val="any"/>
          <w:rFonts w:ascii="PMingLiU" w:eastAsia="PMingLiU" w:hAnsi="PMingLiU" w:cs="PMingLiU"/>
          <w:spacing w:val="8"/>
        </w:rPr>
        <w:t>只大鼠中，用</w:t>
      </w:r>
      <w:r>
        <w:rPr>
          <w:rStyle w:val="any"/>
          <w:rFonts w:ascii="Times New Roman" w:eastAsia="Times New Roman" w:hAnsi="Times New Roman" w:cs="Times New Roman"/>
          <w:spacing w:val="8"/>
        </w:rPr>
        <w:t>NRSF shRNA</w:t>
      </w:r>
      <w:r>
        <w:rPr>
          <w:rStyle w:val="any"/>
          <w:rFonts w:ascii="PMingLiU" w:eastAsia="PMingLiU" w:hAnsi="PMingLiU" w:cs="PMingLiU"/>
          <w:spacing w:val="8"/>
        </w:rPr>
        <w:t>转染</w:t>
      </w:r>
      <w:r>
        <w:rPr>
          <w:rStyle w:val="any"/>
          <w:rFonts w:ascii="Times New Roman" w:eastAsia="Times New Roman" w:hAnsi="Times New Roman" w:cs="Times New Roman"/>
          <w:spacing w:val="8"/>
        </w:rPr>
        <w:t>20</w:t>
      </w:r>
      <w:r>
        <w:rPr>
          <w:rStyle w:val="any"/>
          <w:rFonts w:ascii="PMingLiU" w:eastAsia="PMingLiU" w:hAnsi="PMingLiU" w:cs="PMingLiU"/>
          <w:spacing w:val="8"/>
        </w:rPr>
        <w:t>只大鼠，其余</w:t>
      </w:r>
      <w:r>
        <w:rPr>
          <w:rStyle w:val="any"/>
          <w:rFonts w:ascii="Times New Roman" w:eastAsia="Times New Roman" w:hAnsi="Times New Roman" w:cs="Times New Roman"/>
          <w:spacing w:val="8"/>
        </w:rPr>
        <w:t>80</w:t>
      </w:r>
      <w:r>
        <w:rPr>
          <w:rStyle w:val="any"/>
          <w:rFonts w:ascii="PMingLiU" w:eastAsia="PMingLiU" w:hAnsi="PMingLiU" w:cs="PMingLiU"/>
          <w:spacing w:val="8"/>
        </w:rPr>
        <w:t>只大鼠被随机分配到正常，假，模型和阴性对照组（</w:t>
      </w:r>
      <w:r>
        <w:rPr>
          <w:rStyle w:val="any"/>
          <w:rFonts w:ascii="Times New Roman" w:eastAsia="Times New Roman" w:hAnsi="Times New Roman" w:cs="Times New Roman"/>
          <w:spacing w:val="8"/>
        </w:rPr>
        <w:t>NC</w:t>
      </w:r>
      <w:r>
        <w:rPr>
          <w:rStyle w:val="any"/>
          <w:rFonts w:ascii="PMingLiU" w:eastAsia="PMingLiU" w:hAnsi="PMingLiU" w:cs="PMingLiU"/>
          <w:spacing w:val="8"/>
        </w:rPr>
        <w:t>）组。在缺血和再灌注后的第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14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28</w:t>
      </w:r>
      <w:r>
        <w:rPr>
          <w:rStyle w:val="any"/>
          <w:rFonts w:ascii="PMingLiU" w:eastAsia="PMingLiU" w:hAnsi="PMingLiU" w:cs="PMingLiU"/>
          <w:spacing w:val="8"/>
        </w:rPr>
        <w:t>天，分配了神经功能分数，并进行了降低的被动回避测试。神经功能评分，降低反应周期，错误时间和凋亡率以及</w:t>
      </w:r>
      <w:r>
        <w:rPr>
          <w:rStyle w:val="any"/>
          <w:rFonts w:ascii="Times New Roman" w:eastAsia="Times New Roman" w:hAnsi="Times New Roman" w:cs="Times New Roman"/>
          <w:spacing w:val="8"/>
        </w:rPr>
        <w:t>B</w:t>
      </w:r>
      <w:r>
        <w:rPr>
          <w:rStyle w:val="any"/>
          <w:rFonts w:ascii="PMingLiU" w:eastAsia="PMingLiU" w:hAnsi="PMingLiU" w:cs="PMingLiU"/>
          <w:spacing w:val="8"/>
        </w:rPr>
        <w:t>细胞</w:t>
      </w:r>
      <w:r>
        <w:rPr>
          <w:rStyle w:val="any"/>
          <w:rFonts w:ascii="Times New Roman" w:eastAsia="Times New Roman" w:hAnsi="Times New Roman" w:cs="Times New Roman"/>
          <w:spacing w:val="8"/>
        </w:rPr>
        <w:t>CLL/</w:t>
      </w:r>
      <w:r>
        <w:rPr>
          <w:rStyle w:val="any"/>
          <w:rFonts w:ascii="PMingLiU" w:eastAsia="PMingLiU" w:hAnsi="PMingLiU" w:cs="PMingLiU"/>
          <w:spacing w:val="8"/>
        </w:rPr>
        <w:t>淋巴瘤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BCL-2</w:t>
      </w:r>
      <w:r>
        <w:rPr>
          <w:rStyle w:val="any"/>
          <w:rFonts w:ascii="PMingLiU" w:eastAsia="PMingLiU" w:hAnsi="PMingLiU" w:cs="PMingLiU"/>
          <w:spacing w:val="8"/>
        </w:rPr>
        <w:t>）（</w:t>
      </w:r>
      <w:r>
        <w:rPr>
          <w:rStyle w:val="any"/>
          <w:rFonts w:ascii="Times New Roman" w:eastAsia="Times New Roman" w:hAnsi="Times New Roman" w:cs="Times New Roman"/>
          <w:spacing w:val="8"/>
        </w:rPr>
        <w:t>BCL-2</w:t>
      </w:r>
      <w:r>
        <w:rPr>
          <w:rStyle w:val="any"/>
          <w:rFonts w:ascii="PMingLiU" w:eastAsia="PMingLiU" w:hAnsi="PMingLiU" w:cs="PMingLiU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</w:rPr>
        <w:t>BCl2</w:t>
      </w:r>
      <w:r>
        <w:rPr>
          <w:rStyle w:val="any"/>
          <w:rFonts w:ascii="PMingLiU" w:eastAsia="PMingLiU" w:hAnsi="PMingLiU" w:cs="PMingLiU"/>
          <w:spacing w:val="8"/>
        </w:rPr>
        <w:t>相关的</w:t>
      </w:r>
      <w:r>
        <w:rPr>
          <w:rStyle w:val="any"/>
          <w:rFonts w:ascii="Times New Roman" w:eastAsia="Times New Roman" w:hAnsi="Times New Roman" w:cs="Times New Roman"/>
          <w:spacing w:val="8"/>
        </w:rPr>
        <w:t>X</w:t>
      </w:r>
      <w:r>
        <w:rPr>
          <w:rStyle w:val="any"/>
          <w:rFonts w:ascii="PMingLiU" w:eastAsia="PMingLiU" w:hAnsi="PMingLiU" w:cs="PMingLiU"/>
          <w:spacing w:val="8"/>
        </w:rPr>
        <w:t>蛋白（</w:t>
      </w:r>
      <w:r>
        <w:rPr>
          <w:rStyle w:val="any"/>
          <w:rFonts w:ascii="Times New Roman" w:eastAsia="Times New Roman" w:hAnsi="Times New Roman" w:cs="Times New Roman"/>
          <w:spacing w:val="8"/>
        </w:rPr>
        <w:t>BAX</w:t>
      </w:r>
      <w:r>
        <w:rPr>
          <w:rStyle w:val="any"/>
          <w:rFonts w:ascii="PMingLiU" w:eastAsia="PMingLiU" w:hAnsi="PMingLiU" w:cs="PMingLiU"/>
          <w:spacing w:val="8"/>
        </w:rPr>
        <w:t>）和</w:t>
      </w:r>
      <w:r>
        <w:rPr>
          <w:rStyle w:val="any"/>
          <w:rFonts w:ascii="Times New Roman" w:eastAsia="Times New Roman" w:hAnsi="Times New Roman" w:cs="Times New Roman"/>
          <w:spacing w:val="8"/>
        </w:rPr>
        <w:t>NRSF</w:t>
      </w:r>
      <w:r>
        <w:rPr>
          <w:rStyle w:val="any"/>
          <w:rFonts w:ascii="PMingLiU" w:eastAsia="PMingLiU" w:hAnsi="PMingLiU" w:cs="PMingLiU"/>
          <w:spacing w:val="8"/>
        </w:rPr>
        <w:t>表达在</w:t>
      </w:r>
      <w:r>
        <w:rPr>
          <w:rStyle w:val="any"/>
          <w:rFonts w:ascii="Times New Roman" w:eastAsia="Times New Roman" w:hAnsi="Times New Roman" w:cs="Times New Roman"/>
          <w:spacing w:val="8"/>
        </w:rPr>
        <w:t>NRSF SHRNA</w:t>
      </w:r>
      <w:r>
        <w:rPr>
          <w:rStyle w:val="any"/>
          <w:rFonts w:ascii="PMingLiU" w:eastAsia="PMingLiU" w:hAnsi="PMingLiU" w:cs="PMingLiU"/>
          <w:spacing w:val="8"/>
        </w:rPr>
        <w:t>组中比模型和</w:t>
      </w:r>
      <w:r>
        <w:rPr>
          <w:rStyle w:val="any"/>
          <w:rFonts w:ascii="Times New Roman" w:eastAsia="Times New Roman" w:hAnsi="Times New Roman" w:cs="Times New Roman"/>
          <w:spacing w:val="8"/>
        </w:rPr>
        <w:t>NC</w:t>
      </w:r>
      <w:r>
        <w:rPr>
          <w:rStyle w:val="any"/>
          <w:rFonts w:ascii="PMingLiU" w:eastAsia="PMingLiU" w:hAnsi="PMingLiU" w:cs="PMingLiU"/>
          <w:spacing w:val="8"/>
        </w:rPr>
        <w:t>组中的</w:t>
      </w:r>
      <w:r>
        <w:rPr>
          <w:rStyle w:val="any"/>
          <w:rFonts w:ascii="Times New Roman" w:eastAsia="Times New Roman" w:hAnsi="Times New Roman" w:cs="Times New Roman"/>
          <w:spacing w:val="8"/>
        </w:rPr>
        <w:t>NRSF</w:t>
      </w:r>
      <w:r>
        <w:rPr>
          <w:rStyle w:val="any"/>
          <w:rFonts w:ascii="PMingLiU" w:eastAsia="PMingLiU" w:hAnsi="PMingLiU" w:cs="PMingLiU"/>
          <w:spacing w:val="8"/>
        </w:rPr>
        <w:t>表达低。相比之下，</w:t>
      </w:r>
      <w:r>
        <w:rPr>
          <w:rStyle w:val="any"/>
          <w:rFonts w:ascii="Times New Roman" w:eastAsia="Times New Roman" w:hAnsi="Times New Roman" w:cs="Times New Roman"/>
          <w:spacing w:val="8"/>
        </w:rPr>
        <w:t>NRSF SHRNA</w:t>
      </w:r>
      <w:r>
        <w:rPr>
          <w:rStyle w:val="any"/>
          <w:rFonts w:ascii="PMingLiU" w:eastAsia="PMingLiU" w:hAnsi="PMingLiU" w:cs="PMingLiU"/>
          <w:spacing w:val="8"/>
        </w:rPr>
        <w:t>组中的降低潜伏期，溴脱氧尿苷阳性细胞的数量，</w:t>
      </w:r>
      <w:r>
        <w:rPr>
          <w:rStyle w:val="any"/>
          <w:rFonts w:ascii="Times New Roman" w:eastAsia="Times New Roman" w:hAnsi="Times New Roman" w:cs="Times New Roman"/>
          <w:spacing w:val="8"/>
        </w:rPr>
        <w:t>MOR/DOR</w:t>
      </w:r>
      <w:r>
        <w:rPr>
          <w:rStyle w:val="any"/>
          <w:rFonts w:ascii="PMingLiU" w:eastAsia="PMingLiU" w:hAnsi="PMingLiU" w:cs="PMingLiU"/>
          <w:spacing w:val="8"/>
        </w:rPr>
        <w:t>表达以及细胞外信号调节蛋白激酶（</w:t>
      </w:r>
      <w:r>
        <w:rPr>
          <w:rStyle w:val="any"/>
          <w:rFonts w:ascii="Times New Roman" w:eastAsia="Times New Roman" w:hAnsi="Times New Roman" w:cs="Times New Roman"/>
          <w:spacing w:val="8"/>
        </w:rPr>
        <w:t>ERK</w:t>
      </w:r>
      <w:r>
        <w:rPr>
          <w:rStyle w:val="any"/>
          <w:rFonts w:ascii="PMingLiU" w:eastAsia="PMingLiU" w:hAnsi="PMingLiU" w:cs="PMingLiU"/>
          <w:spacing w:val="8"/>
        </w:rPr>
        <w:t>）和</w:t>
      </w:r>
      <w:r>
        <w:rPr>
          <w:rStyle w:val="any"/>
          <w:rFonts w:ascii="Times New Roman" w:eastAsia="Times New Roman" w:hAnsi="Times New Roman" w:cs="Times New Roman"/>
          <w:spacing w:val="8"/>
        </w:rPr>
        <w:t>CAMP</w:t>
      </w:r>
      <w:r>
        <w:rPr>
          <w:rStyle w:val="any"/>
          <w:rFonts w:ascii="PMingLiU" w:eastAsia="PMingLiU" w:hAnsi="PMingLiU" w:cs="PMingLiU"/>
          <w:spacing w:val="8"/>
        </w:rPr>
        <w:t>反应元件结合蛋白（</w:t>
      </w:r>
      <w:r>
        <w:rPr>
          <w:rStyle w:val="any"/>
          <w:rFonts w:ascii="Times New Roman" w:eastAsia="Times New Roman" w:hAnsi="Times New Roman" w:cs="Times New Roman"/>
          <w:spacing w:val="8"/>
        </w:rPr>
        <w:t>CREB</w:t>
      </w:r>
      <w:r>
        <w:rPr>
          <w:rStyle w:val="any"/>
          <w:rFonts w:ascii="PMingLiU" w:eastAsia="PMingLiU" w:hAnsi="PMingLiU" w:cs="PMingLiU"/>
          <w:spacing w:val="8"/>
        </w:rPr>
        <w:t>）的磷酸化更高。这些结果表明，通过上调</w:t>
      </w:r>
      <w:r>
        <w:rPr>
          <w:rStyle w:val="any"/>
          <w:rFonts w:ascii="Times New Roman" w:eastAsia="Times New Roman" w:hAnsi="Times New Roman" w:cs="Times New Roman"/>
          <w:spacing w:val="8"/>
        </w:rPr>
        <w:t>MOR/DOR</w:t>
      </w:r>
      <w:r>
        <w:rPr>
          <w:rStyle w:val="any"/>
          <w:rFonts w:ascii="PMingLiU" w:eastAsia="PMingLiU" w:hAnsi="PMingLiU" w:cs="PMingLiU"/>
          <w:spacing w:val="8"/>
        </w:rPr>
        <w:t>表达，</w:t>
      </w:r>
      <w:r>
        <w:rPr>
          <w:rStyle w:val="any"/>
          <w:rFonts w:ascii="Times New Roman" w:eastAsia="Times New Roman" w:hAnsi="Times New Roman" w:cs="Times New Roman"/>
          <w:spacing w:val="8"/>
        </w:rPr>
        <w:t>NRSF</w:t>
      </w:r>
      <w:r>
        <w:rPr>
          <w:rStyle w:val="any"/>
          <w:rFonts w:ascii="PMingLiU" w:eastAsia="PMingLiU" w:hAnsi="PMingLiU" w:cs="PMingLiU"/>
          <w:spacing w:val="8"/>
        </w:rPr>
        <w:t>敲低脑缺血后的神经功能恢复加速，至少部分通过促进</w:t>
      </w:r>
      <w:r>
        <w:rPr>
          <w:rStyle w:val="any"/>
          <w:rFonts w:ascii="Times New Roman" w:eastAsia="Times New Roman" w:hAnsi="Times New Roman" w:cs="Times New Roman"/>
          <w:spacing w:val="8"/>
        </w:rPr>
        <w:t>NSC</w:t>
      </w:r>
      <w:r>
        <w:rPr>
          <w:rStyle w:val="any"/>
          <w:rFonts w:ascii="PMingLiU" w:eastAsia="PMingLiU" w:hAnsi="PMingLiU" w:cs="PMingLiU"/>
          <w:spacing w:val="8"/>
        </w:rPr>
        <w:t>增殖和抑制凋亡。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河南省科技厅科技攻关重点项目【</w:t>
      </w:r>
      <w:r>
        <w:rPr>
          <w:rStyle w:val="any"/>
          <w:rFonts w:ascii="Times New Roman" w:eastAsia="Times New Roman" w:hAnsi="Times New Roman" w:cs="Times New Roman"/>
          <w:spacing w:val="8"/>
        </w:rPr>
        <w:t>142300410368</w:t>
      </w:r>
      <w:r>
        <w:rPr>
          <w:rStyle w:val="any"/>
          <w:rFonts w:ascii="PMingLiU" w:eastAsia="PMingLiU" w:hAnsi="PMingLiU" w:cs="PMingLiU"/>
          <w:spacing w:val="8"/>
        </w:rPr>
        <w:t>】；河南省教育厅科技攻关重点项目</w:t>
      </w:r>
      <w:r>
        <w:rPr>
          <w:rStyle w:val="any"/>
          <w:rFonts w:ascii="Times New Roman" w:eastAsia="Times New Roman" w:hAnsi="Times New Roman" w:cs="Times New Roman"/>
          <w:spacing w:val="8"/>
        </w:rPr>
        <w:t>[14b 320019]</w:t>
      </w:r>
      <w:r>
        <w:rPr>
          <w:rStyle w:val="any"/>
          <w:rFonts w:ascii="PMingLiU" w:eastAsia="PMingLiU" w:hAnsi="PMingLiU" w:cs="PMingLiU"/>
          <w:spacing w:val="8"/>
        </w:rPr>
        <w:t>；河南省科技厅国际科技合作项目</w:t>
      </w:r>
      <w:r>
        <w:rPr>
          <w:rStyle w:val="any"/>
          <w:rFonts w:ascii="Times New Roman" w:eastAsia="Times New Roman" w:hAnsi="Times New Roman" w:cs="Times New Roman"/>
          <w:spacing w:val="8"/>
        </w:rPr>
        <w:t>[152102410025]</w:t>
      </w:r>
      <w:r>
        <w:rPr>
          <w:rStyle w:val="any"/>
          <w:rFonts w:ascii="PMingLiU" w:eastAsia="PMingLiU" w:hAnsi="PMingLiU" w:cs="PMingLiU"/>
          <w:spacing w:val="8"/>
        </w:rPr>
        <w:t>；科技部项目</w:t>
      </w:r>
      <w:r>
        <w:rPr>
          <w:rStyle w:val="any"/>
          <w:rFonts w:ascii="Times New Roman" w:eastAsia="Times New Roman" w:hAnsi="Times New Roman" w:cs="Times New Roman"/>
          <w:spacing w:val="8"/>
        </w:rPr>
        <w:t>[CX 0001 f 01347]</w:t>
      </w:r>
      <w:r>
        <w:rPr>
          <w:rStyle w:val="any"/>
          <w:rFonts w:ascii="PMingLiU" w:eastAsia="PMingLiU" w:hAnsi="PMingLiU" w:cs="PMingLiU"/>
          <w:spacing w:val="8"/>
        </w:rPr>
        <w:t>；省科技厅</w:t>
      </w:r>
      <w:r>
        <w:rPr>
          <w:rStyle w:val="any"/>
          <w:rFonts w:ascii="Times New Roman" w:eastAsia="Times New Roman" w:hAnsi="Times New Roman" w:cs="Times New Roman"/>
          <w:spacing w:val="8"/>
        </w:rPr>
        <w:t>[152102410025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CX0001F01540]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Hui-Min Liang</w:t>
      </w:r>
      <w:r>
        <w:rPr>
          <w:rStyle w:val="any"/>
          <w:rFonts w:ascii="PMingLiU" w:eastAsia="PMingLiU" w:hAnsi="PMingLiU" w:cs="PMingLiU"/>
          <w:spacing w:val="8"/>
        </w:rPr>
        <w:t>（音译：梁慧敏），疑为</w:t>
      </w:r>
      <w:r>
        <w:rPr>
          <w:rStyle w:val="any"/>
          <w:rFonts w:ascii="PMingLiU" w:eastAsia="PMingLiU" w:hAnsi="PMingLiU" w:cs="PMingLiU"/>
          <w:spacing w:val="8"/>
        </w:rPr>
        <w:t>河南大学淮河医院神经内科主任医师。</w:t>
      </w:r>
      <w:r>
        <w:rPr>
          <w:rStyle w:val="any"/>
          <w:rFonts w:ascii="PMingLiU" w:eastAsia="PMingLiU" w:hAnsi="PMingLiU" w:cs="PMingLiU"/>
          <w:spacing w:val="8"/>
        </w:rPr>
        <w:t>副教授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博士。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https://pubpeer.com/publications/ED911A17A29D90761B4FB6AFD41EE7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https://pubmed.ncbi.nlm.nih.gov/29254142/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763&amp;idx=4&amp;sn=22548098014d1287523620f5e046206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