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安徽省蚌埠医科大学</w:t>
        </w:r>
        <w:r>
          <w:rPr>
            <w:rStyle w:val="a"/>
            <w:rFonts w:ascii="Times New Roman" w:eastAsia="Times New Roman" w:hAnsi="Times New Roman" w:cs="Times New Roman"/>
            <w:b w:val="0"/>
            <w:bCs w:val="0"/>
            <w:spacing w:val="8"/>
          </w:rPr>
          <w:t>Zhu Bing</w:t>
        </w:r>
        <w:r>
          <w:rPr>
            <w:rStyle w:val="a"/>
            <w:rFonts w:ascii="PMingLiU" w:eastAsia="PMingLiU" w:hAnsi="PMingLiU" w:cs="PMingLiU"/>
            <w:b w:val="0"/>
            <w:bCs w:val="0"/>
            <w:spacing w:val="8"/>
          </w:rPr>
          <w:t>（音译：朱冰）团队论文被撤稿，背后有自然科学基金支持</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2025-04-15 22:40:54</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7346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680625" name=""/>
                    <pic:cNvPicPr>
                      <a:picLocks noChangeAspect="1"/>
                    </pic:cNvPicPr>
                  </pic:nvPicPr>
                  <pic:blipFill>
                    <a:blip xmlns:r="http://schemas.openxmlformats.org/officeDocument/2006/relationships" r:embed="rId6"/>
                    <a:stretch>
                      <a:fillRect/>
                    </a:stretch>
                  </pic:blipFill>
                  <pic:spPr>
                    <a:xfrm>
                      <a:off x="0" y="0"/>
                      <a:ext cx="5486400" cy="35734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2018</w:t>
      </w:r>
      <w:r>
        <w:rPr>
          <w:rStyle w:val="any"/>
          <w:rFonts w:ascii="PMingLiU" w:eastAsia="PMingLiU" w:hAnsi="PMingLiU" w:cs="PMingLiU"/>
          <w:spacing w:val="8"/>
        </w:rPr>
        <w:t>年</w:t>
      </w:r>
      <w:r>
        <w:rPr>
          <w:rStyle w:val="any"/>
          <w:rFonts w:ascii="Times New Roman" w:eastAsia="Times New Roman" w:hAnsi="Times New Roman" w:cs="Times New Roman"/>
          <w:spacing w:val="8"/>
        </w:rPr>
        <w:t>5</w:t>
      </w:r>
      <w:r>
        <w:rPr>
          <w:rStyle w:val="any"/>
          <w:rFonts w:ascii="PMingLiU" w:eastAsia="PMingLiU" w:hAnsi="PMingLiU" w:cs="PMingLiU"/>
          <w:spacing w:val="8"/>
        </w:rPr>
        <w:t>月</w:t>
      </w:r>
      <w:r>
        <w:rPr>
          <w:rStyle w:val="any"/>
          <w:rFonts w:ascii="Times New Roman" w:eastAsia="Times New Roman" w:hAnsi="Times New Roman" w:cs="Times New Roman"/>
          <w:spacing w:val="8"/>
        </w:rPr>
        <w:t>23</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Paeonol induces the apoptosis of the SGC?7901 gastric cancer cell line by downregulating ERBB2 and inhibiting the NF?κB signaling pathway</w:t>
      </w:r>
      <w:r>
        <w:rPr>
          <w:rStyle w:val="any"/>
          <w:rFonts w:ascii="PMingLiU" w:eastAsia="PMingLiU" w:hAnsi="PMingLiU" w:cs="PMingLiU"/>
          <w:spacing w:val="8"/>
        </w:rPr>
        <w:t>（丹皮酚通过下调</w:t>
      </w:r>
      <w:r>
        <w:rPr>
          <w:rStyle w:val="any"/>
          <w:rFonts w:ascii="Times New Roman" w:eastAsia="Times New Roman" w:hAnsi="Times New Roman" w:cs="Times New Roman"/>
          <w:spacing w:val="8"/>
        </w:rPr>
        <w:t>ERBB2</w:t>
      </w:r>
      <w:r>
        <w:rPr>
          <w:rStyle w:val="any"/>
          <w:rFonts w:ascii="PMingLiU" w:eastAsia="PMingLiU" w:hAnsi="PMingLiU" w:cs="PMingLiU"/>
          <w:spacing w:val="8"/>
        </w:rPr>
        <w:t>和抑制</w:t>
      </w:r>
      <w:r>
        <w:rPr>
          <w:rStyle w:val="any"/>
          <w:rFonts w:ascii="Times New Roman" w:eastAsia="Times New Roman" w:hAnsi="Times New Roman" w:cs="Times New Roman"/>
          <w:spacing w:val="8"/>
        </w:rPr>
        <w:t>NF ? κ B</w:t>
      </w:r>
      <w:r>
        <w:rPr>
          <w:rStyle w:val="any"/>
          <w:rFonts w:ascii="PMingLiU" w:eastAsia="PMingLiU" w:hAnsi="PMingLiU" w:cs="PMingLiU"/>
          <w:spacing w:val="8"/>
        </w:rPr>
        <w:t>信号通路诱导</w:t>
      </w:r>
      <w:r>
        <w:rPr>
          <w:rStyle w:val="any"/>
          <w:rFonts w:ascii="Times New Roman" w:eastAsia="Times New Roman" w:hAnsi="Times New Roman" w:cs="Times New Roman"/>
          <w:spacing w:val="8"/>
        </w:rPr>
        <w:t>SGC ? 7901</w:t>
      </w:r>
      <w:r>
        <w:rPr>
          <w:rStyle w:val="any"/>
          <w:rFonts w:ascii="PMingLiU" w:eastAsia="PMingLiU" w:hAnsi="PMingLiU" w:cs="PMingLiU"/>
          <w:spacing w:val="8"/>
        </w:rPr>
        <w:t>胃癌细胞凋亡）的论文在《</w:t>
      </w:r>
      <w:r>
        <w:rPr>
          <w:rStyle w:val="any"/>
          <w:rFonts w:ascii="Times New Roman" w:eastAsia="Times New Roman" w:hAnsi="Times New Roman" w:cs="Times New Roman"/>
          <w:spacing w:val="8"/>
        </w:rPr>
        <w:t>International journal of molecular medicine</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2020</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Elisabeth M Bik</w:t>
      </w:r>
      <w:r>
        <w:rPr>
          <w:rStyle w:val="any"/>
          <w:rFonts w:ascii="PMingLiU" w:eastAsia="PMingLiU" w:hAnsi="PMingLiU" w:cs="PMingLiU"/>
          <w:spacing w:val="8"/>
        </w:rPr>
        <w:t>对该论文提出质疑，认为数据图像有重复。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220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132625" name=""/>
                    <pic:cNvPicPr>
                      <a:picLocks noChangeAspect="1"/>
                    </pic:cNvPicPr>
                  </pic:nvPicPr>
                  <pic:blipFill>
                    <a:blip xmlns:r="http://schemas.openxmlformats.org/officeDocument/2006/relationships" r:embed="rId7"/>
                    <a:stretch>
                      <a:fillRect/>
                    </a:stretch>
                  </pic:blipFill>
                  <pic:spPr>
                    <a:xfrm>
                      <a:off x="0" y="0"/>
                      <a:ext cx="5486400" cy="36220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期刊编辑</w:t>
      </w:r>
      <w:r>
        <w:rPr>
          <w:rStyle w:val="any"/>
          <w:rFonts w:ascii="PMingLiU" w:eastAsia="PMingLiU" w:hAnsi="PMingLiU" w:cs="PMingLiU"/>
          <w:spacing w:val="8"/>
        </w:rPr>
        <w:t>对提供的数据缺乏信心，</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Times New Roman" w:eastAsia="Times New Roman" w:hAnsi="Times New Roman" w:cs="Times New Roman"/>
          <w:spacing w:val="8"/>
        </w:rPr>
        <w:t>14</w:t>
      </w:r>
      <w:r>
        <w:rPr>
          <w:rStyle w:val="any"/>
          <w:rFonts w:ascii="PMingLiU" w:eastAsia="PMingLiU" w:hAnsi="PMingLiU" w:cs="PMingLiU"/>
          <w:spacing w:val="8"/>
        </w:rPr>
        <w:t>日，该论文被撤回。</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4406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846431" name=""/>
                    <pic:cNvPicPr>
                      <a:picLocks noChangeAspect="1"/>
                    </pic:cNvPicPr>
                  </pic:nvPicPr>
                  <pic:blipFill>
                    <a:blip xmlns:r="http://schemas.openxmlformats.org/officeDocument/2006/relationships" r:embed="rId8"/>
                    <a:stretch>
                      <a:fillRect/>
                    </a:stretch>
                  </pic:blipFill>
                  <pic:spPr>
                    <a:xfrm>
                      <a:off x="0" y="0"/>
                      <a:ext cx="5486400" cy="38440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本论文研究内容为：</w:t>
      </w:r>
      <w:r>
        <w:rPr>
          <w:rStyle w:val="any"/>
          <w:rFonts w:ascii="PMingLiU" w:eastAsia="PMingLiU" w:hAnsi="PMingLiU" w:cs="PMingLiU"/>
          <w:spacing w:val="8"/>
        </w:rPr>
        <w:t>本研究的目的是分析</w:t>
      </w:r>
      <w:r>
        <w:rPr>
          <w:rStyle w:val="any"/>
          <w:rFonts w:ascii="Times New Roman" w:eastAsia="Times New Roman" w:hAnsi="Times New Roman" w:cs="Times New Roman"/>
          <w:spacing w:val="8"/>
        </w:rPr>
        <w:t>Paeonol</w:t>
      </w:r>
      <w:r>
        <w:rPr>
          <w:rStyle w:val="any"/>
          <w:rFonts w:ascii="PMingLiU" w:eastAsia="PMingLiU" w:hAnsi="PMingLiU" w:cs="PMingLiU"/>
          <w:spacing w:val="8"/>
        </w:rPr>
        <w:t>与胃癌（</w:t>
      </w:r>
      <w:r>
        <w:rPr>
          <w:rStyle w:val="any"/>
          <w:rFonts w:ascii="Times New Roman" w:eastAsia="Times New Roman" w:hAnsi="Times New Roman" w:cs="Times New Roman"/>
          <w:spacing w:val="8"/>
        </w:rPr>
        <w:t>GC</w:t>
      </w:r>
      <w:r>
        <w:rPr>
          <w:rStyle w:val="any"/>
          <w:rFonts w:ascii="PMingLiU" w:eastAsia="PMingLiU" w:hAnsi="PMingLiU" w:cs="PMingLiU"/>
          <w:spacing w:val="8"/>
        </w:rPr>
        <w:t>）之间的关联，使用生物信息疗法方法分析与核因子</w:t>
      </w:r>
      <w:r>
        <w:rPr>
          <w:rStyle w:val="any"/>
          <w:rFonts w:ascii="Times New Roman" w:eastAsia="Times New Roman" w:hAnsi="Times New Roman" w:cs="Times New Roman"/>
          <w:spacing w:val="8"/>
        </w:rPr>
        <w:t>-KAPPA B</w:t>
      </w:r>
      <w:r>
        <w:rPr>
          <w:rStyle w:val="any"/>
          <w:rFonts w:ascii="PMingLiU" w:eastAsia="PMingLiU" w:hAnsi="PMingLiU" w:cs="PMingLiU"/>
          <w:spacing w:val="8"/>
        </w:rPr>
        <w:t>（</w:t>
      </w:r>
      <w:r>
        <w:rPr>
          <w:rStyle w:val="any"/>
          <w:rFonts w:ascii="Times New Roman" w:eastAsia="Times New Roman" w:hAnsi="Times New Roman" w:cs="Times New Roman"/>
          <w:spacing w:val="8"/>
        </w:rPr>
        <w:t>NF-KAPPA B</w:t>
      </w:r>
      <w:r>
        <w:rPr>
          <w:rStyle w:val="any"/>
          <w:rFonts w:ascii="PMingLiU" w:eastAsia="PMingLiU" w:hAnsi="PMingLiU" w:cs="PMingLiU"/>
          <w:spacing w:val="8"/>
        </w:rPr>
        <w:t>）潜在影响的作用，以提供理论基础，以进一步阐明</w:t>
      </w:r>
      <w:r>
        <w:rPr>
          <w:rStyle w:val="any"/>
          <w:rFonts w:ascii="Times New Roman" w:eastAsia="Times New Roman" w:hAnsi="Times New Roman" w:cs="Times New Roman"/>
          <w:spacing w:val="8"/>
        </w:rPr>
        <w:t>Paeeonol</w:t>
      </w:r>
      <w:r>
        <w:rPr>
          <w:rStyle w:val="any"/>
          <w:rFonts w:ascii="PMingLiU" w:eastAsia="PMingLiU" w:hAnsi="PMingLiU" w:cs="PMingLiU"/>
          <w:spacing w:val="8"/>
        </w:rPr>
        <w:t>对</w:t>
      </w:r>
      <w:r>
        <w:rPr>
          <w:rStyle w:val="any"/>
          <w:rFonts w:ascii="Times New Roman" w:eastAsia="Times New Roman" w:hAnsi="Times New Roman" w:cs="Times New Roman"/>
          <w:spacing w:val="8"/>
        </w:rPr>
        <w:t>Paeeonol</w:t>
      </w:r>
      <w:r>
        <w:rPr>
          <w:rStyle w:val="any"/>
          <w:rFonts w:ascii="PMingLiU" w:eastAsia="PMingLiU" w:hAnsi="PMingLiU" w:cs="PMingLiU"/>
          <w:spacing w:val="8"/>
        </w:rPr>
        <w:t>的癌症的影响。分别使用</w:t>
      </w:r>
      <w:r>
        <w:rPr>
          <w:rStyle w:val="any"/>
          <w:rFonts w:ascii="Times New Roman" w:eastAsia="Times New Roman" w:hAnsi="Times New Roman" w:cs="Times New Roman"/>
          <w:spacing w:val="8"/>
        </w:rPr>
        <w:t>MTT</w:t>
      </w:r>
      <w:r>
        <w:rPr>
          <w:rStyle w:val="any"/>
          <w:rFonts w:ascii="PMingLiU" w:eastAsia="PMingLiU" w:hAnsi="PMingLiU" w:cs="PMingLiU"/>
          <w:spacing w:val="8"/>
        </w:rPr>
        <w:t>分析，倒立显微镜和流式细胞仪检测到细胞活力，形态和凋亡。使用搜索工具分析了药物与基因之间的相关性，用于化学物质的相互作用（</w:t>
      </w:r>
      <w:r>
        <w:rPr>
          <w:rStyle w:val="any"/>
          <w:rFonts w:ascii="Times New Roman" w:eastAsia="Times New Roman" w:hAnsi="Times New Roman" w:cs="Times New Roman"/>
          <w:spacing w:val="8"/>
        </w:rPr>
        <w:t>Stitch</w:t>
      </w:r>
      <w:r>
        <w:rPr>
          <w:rStyle w:val="any"/>
          <w:rFonts w:ascii="PMingLiU" w:eastAsia="PMingLiU" w:hAnsi="PMingLiU" w:cs="PMingLiU"/>
          <w:spacing w:val="8"/>
        </w:rPr>
        <w:t>）基因</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药物相互作用网络。使用逆转录</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定量聚合酶链反应分析和酶联免疫吸附测定法确定相关</w:t>
      </w:r>
      <w:r>
        <w:rPr>
          <w:rStyle w:val="any"/>
          <w:rFonts w:ascii="Times New Roman" w:eastAsia="Times New Roman" w:hAnsi="Times New Roman" w:cs="Times New Roman"/>
          <w:spacing w:val="8"/>
        </w:rPr>
        <w:t>mRNA</w:t>
      </w:r>
      <w:r>
        <w:rPr>
          <w:rStyle w:val="any"/>
          <w:rFonts w:ascii="PMingLiU" w:eastAsia="PMingLiU" w:hAnsi="PMingLiU" w:cs="PMingLiU"/>
          <w:spacing w:val="8"/>
        </w:rPr>
        <w:t>和蛋白质的表达水平。使用蛋白质印迹分析检查了蛋白质表达的变化。通过分析针迹数据库中记录的化合物和基因之间的关联来确定直接受</w:t>
      </w:r>
      <w:r>
        <w:rPr>
          <w:rStyle w:val="any"/>
          <w:rFonts w:ascii="Times New Roman" w:eastAsia="Times New Roman" w:hAnsi="Times New Roman" w:cs="Times New Roman"/>
          <w:spacing w:val="8"/>
        </w:rPr>
        <w:t>Paeonol</w:t>
      </w:r>
      <w:r>
        <w:rPr>
          <w:rStyle w:val="any"/>
          <w:rFonts w:ascii="PMingLiU" w:eastAsia="PMingLiU" w:hAnsi="PMingLiU" w:cs="PMingLiU"/>
          <w:spacing w:val="8"/>
        </w:rPr>
        <w:t>和已知</w:t>
      </w:r>
      <w:r>
        <w:rPr>
          <w:rStyle w:val="any"/>
          <w:rFonts w:ascii="Times New Roman" w:eastAsia="Times New Roman" w:hAnsi="Times New Roman" w:cs="Times New Roman"/>
          <w:spacing w:val="8"/>
        </w:rPr>
        <w:t>GC</w:t>
      </w:r>
      <w:r>
        <w:rPr>
          <w:rStyle w:val="any"/>
          <w:rFonts w:ascii="PMingLiU" w:eastAsia="PMingLiU" w:hAnsi="PMingLiU" w:cs="PMingLiU"/>
          <w:spacing w:val="8"/>
        </w:rPr>
        <w:t>基因影响的靶基因之间的相关网络。与</w:t>
      </w:r>
      <w:r>
        <w:rPr>
          <w:rStyle w:val="any"/>
          <w:rFonts w:ascii="Times New Roman" w:eastAsia="Times New Roman" w:hAnsi="Times New Roman" w:cs="Times New Roman"/>
          <w:spacing w:val="8"/>
        </w:rPr>
        <w:t>GC</w:t>
      </w:r>
      <w:r>
        <w:rPr>
          <w:rStyle w:val="any"/>
          <w:rFonts w:ascii="PMingLiU" w:eastAsia="PMingLiU" w:hAnsi="PMingLiU" w:cs="PMingLiU"/>
          <w:spacing w:val="8"/>
        </w:rPr>
        <w:t>相关的表皮生长因子受体</w:t>
      </w:r>
      <w:r>
        <w:rPr>
          <w:rStyle w:val="any"/>
          <w:rFonts w:ascii="Times New Roman" w:eastAsia="Times New Roman" w:hAnsi="Times New Roman" w:cs="Times New Roman"/>
          <w:spacing w:val="8"/>
        </w:rPr>
        <w:t>2</w:t>
      </w:r>
      <w:r>
        <w:rPr>
          <w:rStyle w:val="any"/>
          <w:rFonts w:ascii="PMingLiU" w:eastAsia="PMingLiU" w:hAnsi="PMingLiU" w:cs="PMingLiU"/>
          <w:spacing w:val="8"/>
        </w:rPr>
        <w:t>（</w:t>
      </w:r>
      <w:r>
        <w:rPr>
          <w:rStyle w:val="any"/>
          <w:rFonts w:ascii="Times New Roman" w:eastAsia="Times New Roman" w:hAnsi="Times New Roman" w:cs="Times New Roman"/>
          <w:spacing w:val="8"/>
        </w:rPr>
        <w:t>ERBB2</w:t>
      </w:r>
      <w:r>
        <w:rPr>
          <w:rStyle w:val="any"/>
          <w:rFonts w:ascii="PMingLiU" w:eastAsia="PMingLiU" w:hAnsi="PMingLiU" w:cs="PMingLiU"/>
          <w:spacing w:val="8"/>
        </w:rPr>
        <w:t>）基因处于</w:t>
      </w:r>
      <w:r>
        <w:rPr>
          <w:rStyle w:val="any"/>
          <w:rFonts w:ascii="Times New Roman" w:eastAsia="Times New Roman" w:hAnsi="Times New Roman" w:cs="Times New Roman"/>
          <w:spacing w:val="8"/>
        </w:rPr>
        <w:t>Paeonol</w:t>
      </w:r>
      <w:r>
        <w:rPr>
          <w:rStyle w:val="any"/>
          <w:rFonts w:ascii="PMingLiU" w:eastAsia="PMingLiU" w:hAnsi="PMingLiU" w:cs="PMingLiU"/>
          <w:spacing w:val="8"/>
        </w:rPr>
        <w:t>相互作用网络的核心位置，可能是</w:t>
      </w:r>
      <w:r>
        <w:rPr>
          <w:rStyle w:val="any"/>
          <w:rFonts w:ascii="Times New Roman" w:eastAsia="Times New Roman" w:hAnsi="Times New Roman" w:cs="Times New Roman"/>
          <w:spacing w:val="8"/>
        </w:rPr>
        <w:t>Paeonol</w:t>
      </w:r>
      <w:r>
        <w:rPr>
          <w:rStyle w:val="any"/>
          <w:rFonts w:ascii="PMingLiU" w:eastAsia="PMingLiU" w:hAnsi="PMingLiU" w:cs="PMingLiU"/>
          <w:spacing w:val="8"/>
        </w:rPr>
        <w:t>对癌细胞影响的重要潜在靶基因。使用</w:t>
      </w:r>
      <w:r>
        <w:rPr>
          <w:rStyle w:val="any"/>
          <w:rFonts w:ascii="Times New Roman" w:eastAsia="Times New Roman" w:hAnsi="Times New Roman" w:cs="Times New Roman"/>
          <w:spacing w:val="8"/>
        </w:rPr>
        <w:t>MTT</w:t>
      </w:r>
      <w:r>
        <w:rPr>
          <w:rStyle w:val="any"/>
          <w:rFonts w:ascii="PMingLiU" w:eastAsia="PMingLiU" w:hAnsi="PMingLiU" w:cs="PMingLiU"/>
          <w:spacing w:val="8"/>
        </w:rPr>
        <w:t>分析检测到</w:t>
      </w:r>
      <w:r>
        <w:rPr>
          <w:rStyle w:val="any"/>
          <w:rFonts w:ascii="Times New Roman" w:eastAsia="Times New Roman" w:hAnsi="Times New Roman" w:cs="Times New Roman"/>
          <w:spacing w:val="8"/>
        </w:rPr>
        <w:t>Paeonol</w:t>
      </w:r>
      <w:r>
        <w:rPr>
          <w:rStyle w:val="any"/>
          <w:rFonts w:ascii="PMingLiU" w:eastAsia="PMingLiU" w:hAnsi="PMingLiU" w:cs="PMingLiU"/>
          <w:spacing w:val="8"/>
        </w:rPr>
        <w:t>对</w:t>
      </w:r>
      <w:r>
        <w:rPr>
          <w:rStyle w:val="any"/>
          <w:rFonts w:ascii="Times New Roman" w:eastAsia="Times New Roman" w:hAnsi="Times New Roman" w:cs="Times New Roman"/>
          <w:spacing w:val="8"/>
        </w:rPr>
        <w:t>SGC-7901 GC</w:t>
      </w:r>
      <w:r>
        <w:rPr>
          <w:rStyle w:val="any"/>
          <w:rFonts w:ascii="PMingLiU" w:eastAsia="PMingLiU" w:hAnsi="PMingLiU" w:cs="PMingLiU"/>
          <w:spacing w:val="8"/>
        </w:rPr>
        <w:t>细胞系的生存能力的影响，这表明抑制作用以时间和剂量依赖性方式发生。细胞形态的观察结果表明，浮质处理后，细胞浮动，形状异常，界限不清，排列稀疏。流式细胞仪表明，</w:t>
      </w:r>
      <w:r>
        <w:rPr>
          <w:rStyle w:val="any"/>
          <w:rFonts w:ascii="Times New Roman" w:eastAsia="Times New Roman" w:hAnsi="Times New Roman" w:cs="Times New Roman"/>
          <w:spacing w:val="8"/>
        </w:rPr>
        <w:t>Paeonol</w:t>
      </w:r>
      <w:r>
        <w:rPr>
          <w:rStyle w:val="any"/>
          <w:rFonts w:ascii="PMingLiU" w:eastAsia="PMingLiU" w:hAnsi="PMingLiU" w:cs="PMingLiU"/>
          <w:spacing w:val="8"/>
        </w:rPr>
        <w:t>显著加速了</w:t>
      </w:r>
      <w:r>
        <w:rPr>
          <w:rStyle w:val="any"/>
          <w:rFonts w:ascii="Times New Roman" w:eastAsia="Times New Roman" w:hAnsi="Times New Roman" w:cs="Times New Roman"/>
          <w:spacing w:val="8"/>
        </w:rPr>
        <w:t>SGC-7901 GC</w:t>
      </w:r>
      <w:r>
        <w:rPr>
          <w:rStyle w:val="any"/>
          <w:rFonts w:ascii="PMingLiU" w:eastAsia="PMingLiU" w:hAnsi="PMingLiU" w:cs="PMingLiU"/>
          <w:spacing w:val="8"/>
        </w:rPr>
        <w:t>细胞的凋亡率。对临床样品的检查表明，</w:t>
      </w:r>
      <w:r>
        <w:rPr>
          <w:rStyle w:val="any"/>
          <w:rFonts w:ascii="Times New Roman" w:eastAsia="Times New Roman" w:hAnsi="Times New Roman" w:cs="Times New Roman"/>
          <w:spacing w:val="8"/>
        </w:rPr>
        <w:t>ERBB2</w:t>
      </w:r>
      <w:r>
        <w:rPr>
          <w:rStyle w:val="any"/>
          <w:rFonts w:ascii="PMingLiU" w:eastAsia="PMingLiU" w:hAnsi="PMingLiU" w:cs="PMingLiU"/>
          <w:spacing w:val="8"/>
        </w:rPr>
        <w:t>在</w:t>
      </w:r>
      <w:r>
        <w:rPr>
          <w:rStyle w:val="any"/>
          <w:rFonts w:ascii="Times New Roman" w:eastAsia="Times New Roman" w:hAnsi="Times New Roman" w:cs="Times New Roman"/>
          <w:spacing w:val="8"/>
        </w:rPr>
        <w:t>GC</w:t>
      </w:r>
      <w:r>
        <w:rPr>
          <w:rStyle w:val="any"/>
          <w:rFonts w:ascii="PMingLiU" w:eastAsia="PMingLiU" w:hAnsi="PMingLiU" w:cs="PMingLiU"/>
          <w:spacing w:val="8"/>
        </w:rPr>
        <w:t>样品中以高水平表达，并在添加</w:t>
      </w:r>
      <w:r>
        <w:rPr>
          <w:rStyle w:val="any"/>
          <w:rFonts w:ascii="Times New Roman" w:eastAsia="Times New Roman" w:hAnsi="Times New Roman" w:cs="Times New Roman"/>
          <w:spacing w:val="8"/>
        </w:rPr>
        <w:t>Paonol</w:t>
      </w:r>
      <w:r>
        <w:rPr>
          <w:rStyle w:val="any"/>
          <w:rFonts w:ascii="PMingLiU" w:eastAsia="PMingLiU" w:hAnsi="PMingLiU" w:cs="PMingLiU"/>
          <w:spacing w:val="8"/>
        </w:rPr>
        <w:t>后显著下调。</w:t>
      </w:r>
      <w:r>
        <w:rPr>
          <w:rStyle w:val="any"/>
          <w:rFonts w:ascii="Times New Roman" w:eastAsia="Times New Roman" w:hAnsi="Times New Roman" w:cs="Times New Roman"/>
          <w:spacing w:val="8"/>
        </w:rPr>
        <w:t>Western</w:t>
      </w:r>
      <w:r>
        <w:rPr>
          <w:rStyle w:val="any"/>
          <w:rFonts w:ascii="PMingLiU" w:eastAsia="PMingLiU" w:hAnsi="PMingLiU" w:cs="PMingLiU"/>
          <w:spacing w:val="8"/>
        </w:rPr>
        <w:t>印迹分析表明，下调</w:t>
      </w:r>
      <w:r>
        <w:rPr>
          <w:rStyle w:val="any"/>
          <w:rFonts w:ascii="Times New Roman" w:eastAsia="Times New Roman" w:hAnsi="Times New Roman" w:cs="Times New Roman"/>
          <w:spacing w:val="8"/>
        </w:rPr>
        <w:t>ERBB2</w:t>
      </w:r>
      <w:r>
        <w:rPr>
          <w:rStyle w:val="any"/>
          <w:rFonts w:ascii="PMingLiU" w:eastAsia="PMingLiU" w:hAnsi="PMingLiU" w:cs="PMingLiU"/>
          <w:spacing w:val="8"/>
        </w:rPr>
        <w:t>影响了</w:t>
      </w:r>
      <w:r>
        <w:rPr>
          <w:rStyle w:val="any"/>
          <w:rFonts w:ascii="Times New Roman" w:eastAsia="Times New Roman" w:hAnsi="Times New Roman" w:cs="Times New Roman"/>
          <w:spacing w:val="8"/>
        </w:rPr>
        <w:t>NF-KAPPA B</w:t>
      </w:r>
      <w:r>
        <w:rPr>
          <w:rStyle w:val="any"/>
          <w:rFonts w:ascii="PMingLiU" w:eastAsia="PMingLiU" w:hAnsi="PMingLiU" w:cs="PMingLiU"/>
          <w:spacing w:val="8"/>
        </w:rPr>
        <w:t>信号通路的激活，从而上调了促凋亡因子</w:t>
      </w:r>
      <w:r>
        <w:rPr>
          <w:rStyle w:val="any"/>
          <w:rFonts w:ascii="Times New Roman" w:eastAsia="Times New Roman" w:hAnsi="Times New Roman" w:cs="Times New Roman"/>
          <w:spacing w:val="8"/>
        </w:rPr>
        <w:t>B</w:t>
      </w:r>
      <w:r>
        <w:rPr>
          <w:rStyle w:val="any"/>
          <w:rFonts w:ascii="PMingLiU" w:eastAsia="PMingLiU" w:hAnsi="PMingLiU" w:cs="PMingLiU"/>
          <w:spacing w:val="8"/>
        </w:rPr>
        <w:t>细胞淋巴瘤相关的</w:t>
      </w:r>
      <w:r>
        <w:rPr>
          <w:rStyle w:val="any"/>
          <w:rFonts w:ascii="Times New Roman" w:eastAsia="Times New Roman" w:hAnsi="Times New Roman" w:cs="Times New Roman"/>
          <w:spacing w:val="8"/>
        </w:rPr>
        <w:t>X</w:t>
      </w:r>
      <w:r>
        <w:rPr>
          <w:rStyle w:val="any"/>
          <w:rFonts w:ascii="PMingLiU" w:eastAsia="PMingLiU" w:hAnsi="PMingLiU" w:cs="PMingLiU"/>
          <w:spacing w:val="8"/>
        </w:rPr>
        <w:t>蛋白。综上所述，</w:t>
      </w:r>
      <w:r>
        <w:rPr>
          <w:rStyle w:val="any"/>
          <w:rFonts w:ascii="Times New Roman" w:eastAsia="Times New Roman" w:hAnsi="Times New Roman" w:cs="Times New Roman"/>
          <w:spacing w:val="8"/>
        </w:rPr>
        <w:t>Paonol</w:t>
      </w:r>
      <w:r>
        <w:rPr>
          <w:rStyle w:val="any"/>
          <w:rFonts w:ascii="PMingLiU" w:eastAsia="PMingLiU" w:hAnsi="PMingLiU" w:cs="PMingLiU"/>
          <w:spacing w:val="8"/>
        </w:rPr>
        <w:t>显著下调</w:t>
      </w:r>
      <w:r>
        <w:rPr>
          <w:rStyle w:val="any"/>
          <w:rFonts w:ascii="Times New Roman" w:eastAsia="Times New Roman" w:hAnsi="Times New Roman" w:cs="Times New Roman"/>
          <w:spacing w:val="8"/>
        </w:rPr>
        <w:t>ERBB2</w:t>
      </w:r>
      <w:r>
        <w:rPr>
          <w:rStyle w:val="any"/>
          <w:rFonts w:ascii="PMingLiU" w:eastAsia="PMingLiU" w:hAnsi="PMingLiU" w:cs="PMingLiU"/>
          <w:spacing w:val="8"/>
        </w:rPr>
        <w:t>并抑制了</w:t>
      </w:r>
      <w:r>
        <w:rPr>
          <w:rStyle w:val="any"/>
          <w:rFonts w:ascii="Times New Roman" w:eastAsia="Times New Roman" w:hAnsi="Times New Roman" w:cs="Times New Roman"/>
          <w:spacing w:val="8"/>
        </w:rPr>
        <w:t>NF-KAPPA B</w:t>
      </w:r>
      <w:r>
        <w:rPr>
          <w:rStyle w:val="any"/>
          <w:rFonts w:ascii="PMingLiU" w:eastAsia="PMingLiU" w:hAnsi="PMingLiU" w:cs="PMingLiU"/>
          <w:spacing w:val="8"/>
        </w:rPr>
        <w:t>信号通路的激活，从而抑制了</w:t>
      </w:r>
      <w:r>
        <w:rPr>
          <w:rStyle w:val="any"/>
          <w:rFonts w:ascii="Times New Roman" w:eastAsia="Times New Roman" w:hAnsi="Times New Roman" w:cs="Times New Roman"/>
          <w:spacing w:val="8"/>
        </w:rPr>
        <w:t>SGC-7901</w:t>
      </w:r>
      <w:r>
        <w:rPr>
          <w:rStyle w:val="any"/>
          <w:rFonts w:ascii="PMingLiU" w:eastAsia="PMingLiU" w:hAnsi="PMingLiU" w:cs="PMingLiU"/>
          <w:spacing w:val="8"/>
        </w:rPr>
        <w:t>细胞的增殖并诱导凋亡。</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16115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385106" name=""/>
                    <pic:cNvPicPr>
                      <a:picLocks noChangeAspect="1"/>
                    </pic:cNvPicPr>
                  </pic:nvPicPr>
                  <pic:blipFill>
                    <a:blip xmlns:r="http://schemas.openxmlformats.org/officeDocument/2006/relationships" r:embed="rId9"/>
                    <a:stretch>
                      <a:fillRect/>
                    </a:stretch>
                  </pic:blipFill>
                  <pic:spPr>
                    <a:xfrm>
                      <a:off x="0" y="0"/>
                      <a:ext cx="5486400" cy="516115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蚌埠医学院自然科学基金</w:t>
      </w:r>
      <w:r>
        <w:rPr>
          <w:rStyle w:val="any"/>
          <w:rFonts w:ascii="Times New Roman" w:eastAsia="Times New Roman" w:hAnsi="Times New Roman" w:cs="Times New Roman"/>
          <w:spacing w:val="8"/>
        </w:rPr>
        <w:t>[BYKY1632ZD]</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Zhu Bing</w:t>
      </w:r>
      <w:r>
        <w:rPr>
          <w:rStyle w:val="any"/>
          <w:rFonts w:ascii="PMingLiU" w:eastAsia="PMingLiU" w:hAnsi="PMingLiU" w:cs="PMingLiU"/>
          <w:spacing w:val="8"/>
        </w:rPr>
        <w:t>（音译：朱冰），疑为</w:t>
      </w:r>
      <w:r>
        <w:rPr>
          <w:rStyle w:val="any"/>
          <w:rFonts w:ascii="PMingLiU" w:eastAsia="PMingLiU" w:hAnsi="PMingLiU" w:cs="PMingLiU"/>
          <w:spacing w:val="8"/>
        </w:rPr>
        <w:t>安徽省蚌埠医科大学副主任医师。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https://pubpeer.com/publications/069478C636737CA9313AF2809DF45C#0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https://www.spandidos-publications.com/10.3892/ijmm.2018.3704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630&amp;idx=2&amp;sn=b3985a5c411b484a2ed975d7172ee408"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