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关于浙江大学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Protein &amp; 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论文后续调查与评析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14:04:07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一、背景回顾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此前本号对浙江大学医学院课题组发表在《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Protein &amp; Cell</w:t>
      </w:r>
      <w:r>
        <w:rPr>
          <w:rStyle w:val="any"/>
          <w:rFonts w:ascii="PMingLiU" w:eastAsia="PMingLiU" w:hAnsi="PMingLiU" w:cs="PMingLiU"/>
          <w:spacing w:val="8"/>
        </w:rPr>
        <w:t>》的论文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RADICAL: a rationally designed ion channel activated by ligand for chemogenetics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Protein Cell, 2025, 16:136–142, DOI: https://doi.org/10.1093/procel/pwae048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提出质疑，指出其</w:t>
      </w:r>
      <w:r>
        <w:rPr>
          <w:rStyle w:val="any"/>
          <w:rFonts w:ascii="Times New Roman" w:eastAsia="Times New Roman" w:hAnsi="Times New Roman" w:cs="Times New Roman"/>
          <w:spacing w:val="8"/>
        </w:rPr>
        <w:t>Figure 1H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I846F</w:t>
      </w:r>
      <w:r>
        <w:rPr>
          <w:rStyle w:val="any"/>
          <w:rFonts w:ascii="PMingLiU" w:eastAsia="PMingLiU" w:hAnsi="PMingLiU" w:cs="PMingLiU"/>
          <w:spacing w:val="8"/>
        </w:rPr>
        <w:t>突变体）与</w:t>
      </w:r>
      <w:r>
        <w:rPr>
          <w:rStyle w:val="any"/>
          <w:rFonts w:ascii="Times New Roman" w:eastAsia="Times New Roman" w:hAnsi="Times New Roman" w:cs="Times New Roman"/>
          <w:spacing w:val="8"/>
        </w:rPr>
        <w:t>Figure 1P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I846F-I985K</w:t>
      </w:r>
      <w:r>
        <w:rPr>
          <w:rStyle w:val="any"/>
          <w:rFonts w:ascii="PMingLiU" w:eastAsia="PMingLiU" w:hAnsi="PMingLiU" w:cs="PMingLiU"/>
          <w:spacing w:val="8"/>
        </w:rPr>
        <w:t>双突变体）在不同</w:t>
      </w:r>
      <w:r>
        <w:rPr>
          <w:rStyle w:val="any"/>
          <w:rFonts w:ascii="Times New Roman" w:eastAsia="Times New Roman" w:hAnsi="Times New Roman" w:cs="Times New Roman"/>
          <w:spacing w:val="8"/>
        </w:rPr>
        <w:t>CHXOL</w:t>
      </w:r>
      <w:r>
        <w:rPr>
          <w:rStyle w:val="any"/>
          <w:rFonts w:ascii="PMingLiU" w:eastAsia="PMingLiU" w:hAnsi="PMingLiU" w:cs="PMingLiU"/>
          <w:spacing w:val="8"/>
        </w:rPr>
        <w:t>处理浓度条件下，钙成像图高度相似，疑似存在图像重复或数据展示不规范的问题。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二、作者回应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通讯作者杨帆教授回应称：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图像确实是同一批细胞在不同</w:t>
      </w:r>
      <w:r>
        <w:rPr>
          <w:rStyle w:val="any"/>
          <w:rFonts w:ascii="Times New Roman" w:eastAsia="Times New Roman" w:hAnsi="Times New Roman" w:cs="Times New Roman"/>
          <w:spacing w:val="8"/>
        </w:rPr>
        <w:t>CHXOL</w:t>
      </w:r>
      <w:r>
        <w:rPr>
          <w:rStyle w:val="any"/>
          <w:rFonts w:ascii="PMingLiU" w:eastAsia="PMingLiU" w:hAnsi="PMingLiU" w:cs="PMingLiU"/>
          <w:spacing w:val="8"/>
        </w:rPr>
        <w:t>浓度下连续拍摄所得；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目的是为了排除细胞间表达水平差异，观察同一细胞荧光强度变化；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因此图像形态无变化是正常现象；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表示质疑者误解了钙成像数据；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并声明可提供原始成像数据备查。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三、对作者回应的详细评析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实验设计层面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使用同一批细胞连续加不同浓度药物，可减少细胞个体差异，在一定技术场景下是合理的（特别是针对微小信号变化的成像实验）。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但标准剂量反应实验（</w:t>
      </w:r>
      <w:r>
        <w:rPr>
          <w:rStyle w:val="any"/>
          <w:rFonts w:ascii="Times New Roman" w:eastAsia="Times New Roman" w:hAnsi="Times New Roman" w:cs="Times New Roman"/>
          <w:spacing w:val="8"/>
        </w:rPr>
        <w:t>dose-response experiment</w:t>
      </w:r>
      <w:r>
        <w:rPr>
          <w:rStyle w:val="any"/>
          <w:rFonts w:ascii="PMingLiU" w:eastAsia="PMingLiU" w:hAnsi="PMingLiU" w:cs="PMingLiU"/>
          <w:spacing w:val="8"/>
        </w:rPr>
        <w:t>）要求独立样本、单独处理，以严格控制单一变量，避免因连续刺激引发的累积效应、细胞疲劳或钙稳态破坏。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连续加药虽然快捷，但科学上引入了潜在系统性偏差，需要通过额外控制实验加以验证。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数据展示与科研规范层面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无论实验设计为何，科研展示必须清晰、透明、准确。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该论文正文与图注未明确注明使用同一批细胞连续加药的处理方式，导致读者有充分理由误解为独立实验组。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这种隐含重要实验流程差异但未说明的做法，属于展示不规范，损害了数据解读的完整性和信任基础。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数据可追溯性层面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作者表示原始数据可供检查，符合数据可追溯原则，这是积极态度。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然而，单纯事后解释不足以弥补发表时数据展示不透明的问题，仍需正式在论文平台予以补充和澄清。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四、总结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?? </w:t>
      </w:r>
      <w:r>
        <w:rPr>
          <w:rStyle w:val="any"/>
          <w:rFonts w:ascii="PMingLiU" w:eastAsia="PMingLiU" w:hAnsi="PMingLiU" w:cs="PMingLiU"/>
          <w:spacing w:val="8"/>
        </w:rPr>
        <w:t>作者的实验设计在特定技术背景下可以成立，但存在潜在偏差，不可直接等同于独立样本剂量效应实验。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?? </w:t>
      </w:r>
      <w:r>
        <w:rPr>
          <w:rStyle w:val="any"/>
          <w:rFonts w:ascii="PMingLiU" w:eastAsia="PMingLiU" w:hAnsi="PMingLiU" w:cs="PMingLiU"/>
          <w:spacing w:val="8"/>
        </w:rPr>
        <w:t>论文在实验设计披露和数据展示上存在严重不规范，属于科研出版规范瑕疵。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?? </w:t>
      </w:r>
      <w:r>
        <w:rPr>
          <w:rStyle w:val="any"/>
          <w:rFonts w:ascii="PMingLiU" w:eastAsia="PMingLiU" w:hAnsi="PMingLiU" w:cs="PMingLiU"/>
          <w:spacing w:val="8"/>
        </w:rPr>
        <w:t>科学可以有不同方法，但科研诚信要求：任何关键实验设计差异必须在论文中明确、准确披露，而非事后解释补救呢。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五、建议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作者应提供原始钙成像全流程数据，供同行独立核查。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应向期刊提交正式勘误（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），在文章正文和图注中明确补充实验处理说明，消除可能误导。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后续科研出版中，必须加强对实验设计透明性、数据展示规范性的重视，确保学术交流的清晰与可信。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六、事件意义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本事件提醒我们：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在科研中，严谨实验设计与规范数据展示同等重要。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任何隐含关键信息不披露，即便实验本身无恶意伪造，也可能破坏科研交流的基础信任。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尊重实验，尊重同行，尊重科学。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这是科研的底线，也是每一位科研工作者必须时刻警醒的责任。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91&amp;idx=1&amp;sn=cca1898cf6ebd26fbca538851198f1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250021474770550788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