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期刊重拳出击：辽宁省肿瘤医院综合内科科主任论文遭撤稿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14:11:41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年发表的结肠癌研究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‘Proliferation and invasion of colon cancer cells are suppressed by knockdown of TOP2A’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敲低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TOP2A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抑制结肠癌细胞增殖和侵袭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10.1002/jcb.26916</w:t>
      </w:r>
      <w:r>
        <w:rPr>
          <w:rStyle w:val="any"/>
          <w:rFonts w:ascii="PMingLiU" w:eastAsia="PMingLiU" w:hAnsi="PMingLiU" w:cs="PMingLiU"/>
          <w:spacing w:val="8"/>
        </w:rPr>
        <w:t>）因图像问题，于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日被正式撤稿。该研究由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Rui Zhang , Jian Xu , Jian Zhao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Jinghui Bai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科主任）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共同完成，通讯单位为辽宁省肿瘤医院综合内科。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89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指出本文与多篇研究图像重复：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>TOP2A</w:t>
      </w:r>
      <w:r>
        <w:rPr>
          <w:rStyle w:val="any"/>
          <w:rFonts w:ascii="PMingLiU" w:eastAsia="PMingLiU" w:hAnsi="PMingLiU" w:cs="PMingLiU"/>
          <w:spacing w:val="8"/>
        </w:rPr>
        <w:t>表达可诱导结肠癌细胞凋亡。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HCT116</w:t>
      </w:r>
      <w:r>
        <w:rPr>
          <w:rStyle w:val="any"/>
          <w:rFonts w:ascii="PMingLiU" w:eastAsia="PMingLiU" w:hAnsi="PMingLiU" w:cs="PMingLiU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SW480</w:t>
      </w:r>
      <w:r>
        <w:rPr>
          <w:rStyle w:val="any"/>
          <w:rFonts w:ascii="PMingLiU" w:eastAsia="PMingLiU" w:hAnsi="PMingLiU" w:cs="PMingLiU"/>
          <w:spacing w:val="8"/>
        </w:rPr>
        <w:t>细胞分别用相应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转染。培养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小时后，收集细胞，用</w:t>
      </w:r>
      <w:r>
        <w:rPr>
          <w:rStyle w:val="any"/>
          <w:rFonts w:ascii="Times New Roman" w:eastAsia="Times New Roman" w:hAnsi="Times New Roman" w:cs="Times New Roman"/>
          <w:spacing w:val="8"/>
        </w:rPr>
        <w:t>Annexin V/PI</w:t>
      </w:r>
      <w:r>
        <w:rPr>
          <w:rStyle w:val="any"/>
          <w:rFonts w:ascii="PMingLiU" w:eastAsia="PMingLiU" w:hAnsi="PMingLiU" w:cs="PMingLiU"/>
          <w:spacing w:val="8"/>
        </w:rPr>
        <w:t>染色，并通过流式细胞术进行分析。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25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6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蓝绿色框标记了一个与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 &amp; Chai (2017)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et al (2017)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中的面板非常相似的面板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03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07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6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94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桃色框标记了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 et al (2019)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中与图像匹配的面板。匹配度并不完美，左侧象限的相似度更高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221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3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更新：深灰色矩形区域与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Yang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Zhang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）文章中图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的第二张图像相匹配。该图描述的是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“Vitexin 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H9c2 </w:t>
      </w:r>
      <w:r>
        <w:rPr>
          <w:rStyle w:val="any"/>
          <w:rFonts w:ascii="PMingLiU" w:eastAsia="PMingLiU" w:hAnsi="PMingLiU" w:cs="PMingLiU"/>
          <w:spacing w:val="8"/>
        </w:rPr>
        <w:t>细胞在心肌缺血再灌注（</w:t>
      </w:r>
      <w:r>
        <w:rPr>
          <w:rStyle w:val="any"/>
          <w:rFonts w:ascii="Times New Roman" w:eastAsia="Times New Roman" w:hAnsi="Times New Roman" w:cs="Times New Roman"/>
          <w:spacing w:val="8"/>
        </w:rPr>
        <w:t>MI/R</w:t>
      </w:r>
      <w:r>
        <w:rPr>
          <w:rStyle w:val="any"/>
          <w:rFonts w:ascii="PMingLiU" w:eastAsia="PMingLiU" w:hAnsi="PMingLiU" w:cs="PMingLiU"/>
          <w:spacing w:val="8"/>
        </w:rPr>
        <w:t>）损伤中的凋亡。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H9c2 </w:t>
      </w:r>
      <w:r>
        <w:rPr>
          <w:rStyle w:val="any"/>
          <w:rFonts w:ascii="PMingLiU" w:eastAsia="PMingLiU" w:hAnsi="PMingLiU" w:cs="PMingLiU"/>
          <w:spacing w:val="8"/>
        </w:rPr>
        <w:t>细胞被分为对照组、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MI/R </w:t>
      </w:r>
      <w:r>
        <w:rPr>
          <w:rStyle w:val="any"/>
          <w:rFonts w:ascii="PMingLiU" w:eastAsia="PMingLiU" w:hAnsi="PMingLiU" w:cs="PMingLiU"/>
          <w:spacing w:val="8"/>
        </w:rPr>
        <w:t>模型组以及分别接受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Vitexin </w:t>
      </w:r>
      <w:r>
        <w:rPr>
          <w:rStyle w:val="any"/>
          <w:rFonts w:ascii="PMingLiU" w:eastAsia="PMingLiU" w:hAnsi="PMingLiU" w:cs="PMingLiU"/>
          <w:spacing w:val="8"/>
        </w:rPr>
        <w:t>处理（</w:t>
      </w:r>
      <w:r>
        <w:rPr>
          <w:rStyle w:val="any"/>
          <w:rFonts w:ascii="Times New Roman" w:eastAsia="Times New Roman" w:hAnsi="Times New Roman" w:cs="Times New Roman"/>
          <w:spacing w:val="8"/>
        </w:rPr>
        <w:t>50 μM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100 μM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 μM</w:t>
      </w:r>
      <w:r>
        <w:rPr>
          <w:rStyle w:val="any"/>
          <w:rFonts w:ascii="PMingLiU" w:eastAsia="PMingLiU" w:hAnsi="PMingLiU" w:cs="PMingLiU"/>
          <w:spacing w:val="8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MI/R + Vitexin </w:t>
      </w:r>
      <w:r>
        <w:rPr>
          <w:rStyle w:val="any"/>
          <w:rFonts w:ascii="PMingLiU" w:eastAsia="PMingLiU" w:hAnsi="PMingLiU" w:cs="PMingLiU"/>
          <w:spacing w:val="8"/>
        </w:rPr>
        <w:t>治疗组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0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5A,B</w:t>
      </w:r>
      <w:r>
        <w:rPr>
          <w:rStyle w:val="any"/>
          <w:rFonts w:ascii="PMingLiU" w:eastAsia="PMingLiU" w:hAnsi="PMingLiU" w:cs="PMingLiU"/>
          <w:spacing w:val="8"/>
        </w:rPr>
        <w:t>，该图先前出现在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5A,B </w:t>
      </w:r>
      <w:r>
        <w:rPr>
          <w:rStyle w:val="any"/>
          <w:rFonts w:ascii="PMingLiU" w:eastAsia="PMingLiU" w:hAnsi="PMingLiU" w:cs="PMingLiU"/>
          <w:spacing w:val="8"/>
        </w:rPr>
        <w:t>中，题为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敲低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TRIM11 </w:t>
      </w:r>
      <w:r>
        <w:rPr>
          <w:rStyle w:val="any"/>
          <w:rFonts w:ascii="PMingLiU" w:eastAsia="PMingLiU" w:hAnsi="PMingLiU" w:cs="PMingLiU"/>
          <w:spacing w:val="8"/>
        </w:rPr>
        <w:t>可抑制卵巢癌细胞的增殖和侵袭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2017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8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08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上述文章最初于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日在线发表在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）上，现已由期刊主编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Christian Behl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Periodicals LLC </w:t>
      </w:r>
      <w:r>
        <w:rPr>
          <w:rStyle w:val="any"/>
          <w:rFonts w:ascii="PMingLiU" w:eastAsia="PMingLiU" w:hAnsi="PMingLiU" w:cs="PMingLiU"/>
          <w:spacing w:val="8"/>
        </w:rPr>
        <w:t>协商一致撤回。撤稿决定是由于第三方提出的质疑。文章中的图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中的图像元素被发现曾由不同作者、在不同的科研背景下发表过。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编辑部曾邀请作者对相关质疑做出回应，但未收到任何回复。因此，编辑部对该研究中所展示的全部数据的完整性与可靠性失去了信心，并认定文章的结论无效，决定予以撤稿。作者已被正式通知此撤稿决定。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https://pubpeer.com/publications/56FA25C7DDDCEA1354386A2D19D373#0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716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38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辽宁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辽宁省肿瘤医院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616563297429913604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987&amp;idx=7&amp;sn=b19fb7d201985eb5ad944e0741a4eb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