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副院长领衔！南方医科大学南方医院感染科合作研究被曝条件不同，图像重叠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13:32:42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JCI Insight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‘Chronic-plus-binge alcohol intake induces production of proinflammatory mtDNA-enriched extracellular vesicles and steatohepatitis via ASK1-p38MAPKα-dependent mechanisms’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慢性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暴饮酒精摄入通过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ASK1-p38MAPKα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依赖性机制诱导促炎性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mtDNA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富集细胞外囊泡产生及脂肪性肝炎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10.1172/jci.insight.136496</w:t>
      </w:r>
      <w:r>
        <w:rPr>
          <w:rStyle w:val="any"/>
          <w:rFonts w:ascii="PMingLiU" w:eastAsia="PMingLiU" w:hAnsi="PMingLiU" w:cs="PMingLiU"/>
          <w:spacing w:val="8"/>
        </w:rPr>
        <w:t>）遭知名学术打假专家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博士公开质疑。该研究由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Jing Ma  , Haixia Cao  , Robim M. Rodrigues  , Mingjiang Xu  , Tianyi Ren  , Yong He  , Seonghwan Hwang  , Dechun Feng  , Ruixue Ren  , Peixin Yang  , Suthat Liangpunsakul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Sun</w:t>
      </w:r>
      <w:r>
        <w:rPr>
          <w:rStyle w:val="any"/>
          <w:rFonts w:ascii="PMingLiU" w:eastAsia="PMingLiU" w:hAnsi="PMingLiU" w:cs="PMingLiU"/>
          <w:spacing w:val="8"/>
        </w:rPr>
        <w:t>（通讯作者，副院长、长江学者）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Bin Gao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Bin Gao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美国国立卫生研究院国家酒精滥用和酒精中毒研究所肝病实验室，通讯作者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 Sun</w:t>
      </w:r>
      <w:r>
        <w:rPr>
          <w:rStyle w:val="any"/>
          <w:rFonts w:ascii="PMingLiU" w:eastAsia="PMingLiU" w:hAnsi="PMingLiU" w:cs="PMingLiU"/>
          <w:spacing w:val="8"/>
        </w:rPr>
        <w:t>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Jing Ma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南方医科大学南方医院感染科，国家器官衰竭研究重点实验室。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14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4B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的质疑：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蓝色方框：图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4B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F4/80 GS+E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F4/80 LY+E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看起来出人意料地相似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然而，这两个图像的标签表明它们应属于不同的实验条件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2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7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https://pubpeer.com/publications/5B529AA68277AC6893F35019F98928#0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00200" cy="16072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60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方医科大学南方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南方医科大学南方医院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21&amp;idx=2&amp;sn=ab24e3638ff2e5e9bea6440812b15f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6792150736597811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