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院士挂名！华西医院神经外科高分一区研究被指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”Oncotarget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Theranostics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12.51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Q1)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‘Powerful anti-colon cancer effect of modified nanoparticle-mediated IL-15 immunogene therapy through activation of the host immune system’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改良纳米颗粒介导的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IL-15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免疫基因疗法通过激活宿主免疫系统产生强效抗结肠癌作用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10.7150/thno.24157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）的研究陷入学术诚信风波。该研究由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Xiaoxiao Liu,Yanyan Li,Xiaodong Sun,Yagmur Muftuoglu,Bilan Wang,Ting Yu,Yuzhu Hu,Lu Ma,Mingli Xiang,Gang Guo,Chao You,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,Yuquan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（中国科学院院士）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四川大学华西医学院华西医院神经外科、神经外科研究所、生物治疗国家重点实验室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生物治疗协同创新中心。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70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粉色方框：图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中的某个面板与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Yuzhu Hu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(2018) 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中的面板意外地相似，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10.18632/oncotarget.23507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6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9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小编备注：本文发表于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月，另一篇研究发表于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https://pubpeer.com/publications/734F3DA260D04174147F22FF501B3B#0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2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5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1&amp;sn=4d102e2325433aa3c7ceb3cd9456ab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856741870583808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