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多处重复，中南大学湘雅医院儿科学术带头人曹励之论文被关注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2025-04-25 00:05:27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#1</w:t>
      </w:r>
      <w:r>
        <w:rPr>
          <w:rStyle w:val="any"/>
          <w:rFonts w:ascii="Times New Roman" w:eastAsia="Times New Roman" w:hAnsi="Times New Roman" w:cs="Times New Roman"/>
          <w:b/>
          <w:bCs/>
          <w:i/>
          <w:iCs/>
          <w:spacing w:val="8"/>
          <w:lang w:val="en-US" w:eastAsia="en-US"/>
        </w:rPr>
        <w:t>Bacillus mannanilyticus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2019</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lang w:val="en-US" w:eastAsia="en-US"/>
        </w:rPr>
        <w:t>4C</w:t>
      </w:r>
      <w:r>
        <w:rPr>
          <w:rStyle w:val="any"/>
          <w:rFonts w:ascii="PMingLiU" w:eastAsia="PMingLiU" w:hAnsi="PMingLiU" w:cs="PMingLiU"/>
          <w:spacing w:val="8"/>
        </w:rPr>
        <w:t>：</w:t>
      </w:r>
      <w:r>
        <w:rPr>
          <w:rStyle w:val="any"/>
          <w:rFonts w:ascii="Times New Roman" w:eastAsia="Times New Roman" w:hAnsi="Times New Roman" w:cs="Times New Roman"/>
          <w:spacing w:val="8"/>
        </w:rPr>
        <w:t>“</w:t>
      </w:r>
      <w:r>
        <w:rPr>
          <w:rStyle w:val="any"/>
          <w:rFonts w:ascii="Times New Roman" w:eastAsia="Times New Roman" w:hAnsi="Times New Roman" w:cs="Times New Roman"/>
          <w:spacing w:val="8"/>
          <w:lang w:val="en-US" w:eastAsia="en-US"/>
        </w:rPr>
        <w:t>Fibrillarin</w:t>
      </w:r>
      <w:r>
        <w:rPr>
          <w:rStyle w:val="any"/>
          <w:rFonts w:ascii="Times New Roman" w:eastAsia="Times New Roman" w:hAnsi="Times New Roman" w:cs="Times New Roman"/>
          <w:spacing w:val="8"/>
        </w:rPr>
        <w:t>”</w:t>
      </w:r>
      <w:r>
        <w:rPr>
          <w:rStyle w:val="any"/>
          <w:rFonts w:ascii="PMingLiU" w:eastAsia="PMingLiU" w:hAnsi="PMingLiU" w:cs="PMingLiU"/>
          <w:spacing w:val="8"/>
        </w:rPr>
        <w:t>面板中的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个左通道看起来与肌动蛋白面板中镜像的</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个右通道非常相似。方向用红色箭头表示。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9077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45180" name=""/>
                    <pic:cNvPicPr>
                      <a:picLocks noChangeAspect="1"/>
                    </pic:cNvPicPr>
                  </pic:nvPicPr>
                  <pic:blipFill>
                    <a:blip xmlns:r="http://schemas.openxmlformats.org/officeDocument/2006/relationships" r:embed="rId6"/>
                    <a:stretch>
                      <a:fillRect/>
                    </a:stretch>
                  </pic:blipFill>
                  <pic:spPr>
                    <a:xfrm>
                      <a:off x="0" y="0"/>
                      <a:ext cx="5276850" cy="23907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这项研究得到了中国国家自然科学基金（</w:t>
      </w:r>
      <w:r>
        <w:rPr>
          <w:rStyle w:val="any"/>
          <w:rFonts w:ascii="Times New Roman" w:eastAsia="Times New Roman" w:hAnsi="Times New Roman" w:cs="Times New Roman"/>
          <w:spacing w:val="8"/>
          <w:lang w:val="en-US" w:eastAsia="en-US"/>
        </w:rPr>
        <w:t>81100359</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M.Y.</w:t>
      </w:r>
      <w:r>
        <w:rPr>
          <w:rStyle w:val="any"/>
          <w:rFonts w:ascii="PMingLiU" w:eastAsia="PMingLiU" w:hAnsi="PMingLiU" w:cs="PMingLiU"/>
          <w:spacing w:val="8"/>
        </w:rPr>
        <w:t>）的资助。</w:t>
      </w:r>
      <w:r>
        <w:rPr>
          <w:rStyle w:val="any"/>
          <w:rFonts w:ascii="Times New Roman" w:eastAsia="Times New Roman" w:hAnsi="Times New Roman" w:cs="Times New Roman"/>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i/>
          <w:iCs/>
          <w:spacing w:val="8"/>
          <w:lang w:val="en-US" w:eastAsia="en-US"/>
        </w:rPr>
        <w:t>Actinopolyspora biskrensis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本文中的加载控件似乎出乎意料地类似于另一篇有一些共同作者的论文中的面板，在那里它的描述不同。</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3C, American Journal of Cancer Research (2015), pubmed: 25973309, discussed here:https://pubpeer.com/publications/794346974656E623FD6A57BFAC0D42</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Figure 5A, International Journal of Molecular Medicine (2011), doi: 10.3892/ijmm.2011.806, discussed here:https://pubpeer.com/publications/7C648CDEB45729BB70524DFBF537F4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24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021547" name=""/>
                    <pic:cNvPicPr>
                      <a:picLocks noChangeAspect="1"/>
                    </pic:cNvPicPr>
                  </pic:nvPicPr>
                  <pic:blipFill>
                    <a:blip xmlns:r="http://schemas.openxmlformats.org/officeDocument/2006/relationships" r:embed="rId7"/>
                    <a:stretch>
                      <a:fillRect/>
                    </a:stretch>
                  </pic:blipFill>
                  <pic:spPr>
                    <a:xfrm>
                      <a:off x="0" y="0"/>
                      <a:ext cx="5276850" cy="3124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https://www.spandidos-publications.com/10.3892/ijmm.2011.806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19087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297042" name=""/>
                    <pic:cNvPicPr>
                      <a:picLocks noChangeAspect="1"/>
                    </pic:cNvPicPr>
                  </pic:nvPicPr>
                  <pic:blipFill>
                    <a:blip xmlns:r="http://schemas.openxmlformats.org/officeDocument/2006/relationships" r:embed="rId8"/>
                    <a:stretch>
                      <a:fillRect/>
                    </a:stretch>
                  </pic:blipFill>
                  <pic:spPr>
                    <a:xfrm>
                      <a:off x="0" y="0"/>
                      <a:ext cx="5276850" cy="319087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曹励之，女，</w:t>
      </w:r>
      <w:r>
        <w:rPr>
          <w:rStyle w:val="any"/>
          <w:rFonts w:ascii="PMingLiU" w:eastAsia="PMingLiU" w:hAnsi="PMingLiU" w:cs="PMingLiU"/>
          <w:spacing w:val="8"/>
        </w:rPr>
        <w:t>中南大学湘雅医院儿科</w:t>
      </w:r>
      <w:r>
        <w:rPr>
          <w:rStyle w:val="any"/>
          <w:rFonts w:ascii="PMingLiU" w:eastAsia="PMingLiU" w:hAnsi="PMingLiU" w:cs="PMingLiU"/>
          <w:spacing w:val="8"/>
        </w:rPr>
        <w:t>科室副主任，教授，博士生导师，一级主任医师。湖南省小儿白血病临床诊治及科研的学术带头人。主要研究方向：小儿白血病。临床擅长儿童血液病和生长发育问题的诊断和治疗。为中华医学会儿科血液专业组委员，湖南省儿科专业组委员。在湘雅医院从事儿科临床工作</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年，对儿科领域疾病的诊治积累了丰富的经验，尤其对小儿血液和内分泌系统疾病和儿科危重、疑难病的诊治有较深的造诣。牵头成立了湖南省儿童白血病协作组，将更多的病人纳入规范化治疗，使该科的白血病治疗水平已达到国内的先进水平，成为省内儿童白血病重点收治单位。先后主持国家、省部级血液及相关研究课题</w:t>
      </w:r>
      <w:r>
        <w:rPr>
          <w:rStyle w:val="any"/>
          <w:rFonts w:ascii="Times New Roman" w:eastAsia="Times New Roman" w:hAnsi="Times New Roman" w:cs="Times New Roman"/>
          <w:spacing w:val="8"/>
          <w:lang w:val="en-US" w:eastAsia="en-US"/>
        </w:rPr>
        <w:t>6</w:t>
      </w:r>
      <w:r>
        <w:rPr>
          <w:rStyle w:val="any"/>
          <w:rFonts w:ascii="PMingLiU" w:eastAsia="PMingLiU" w:hAnsi="PMingLiU" w:cs="PMingLiU"/>
          <w:spacing w:val="8"/>
        </w:rPr>
        <w:t>项，其中国家自然科学基金项目</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项和教育部博士点基金项目</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项；主持获得湖南省科技二等奖、湖南省医学一等奖、中南大学教学二等奖各一项。先后在国内外刊物发表研究论文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余篇，</w:t>
      </w:r>
      <w:r>
        <w:rPr>
          <w:rStyle w:val="any"/>
          <w:rFonts w:ascii="Times New Roman" w:eastAsia="Times New Roman" w:hAnsi="Times New Roman" w:cs="Times New Roman"/>
          <w:spacing w:val="8"/>
          <w:lang w:val="en-US" w:eastAsia="en-US"/>
        </w:rPr>
        <w:t>SCI20</w:t>
      </w:r>
      <w:r>
        <w:rPr>
          <w:rStyle w:val="any"/>
          <w:rFonts w:ascii="PMingLiU" w:eastAsia="PMingLiU" w:hAnsi="PMingLiU" w:cs="PMingLiU"/>
          <w:spacing w:val="8"/>
        </w:rPr>
        <w:t>余篇，入选</w:t>
      </w:r>
      <w:r>
        <w:rPr>
          <w:rStyle w:val="any"/>
          <w:rFonts w:ascii="Times New Roman" w:eastAsia="Times New Roman" w:hAnsi="Times New Roman" w:cs="Times New Roman"/>
          <w:spacing w:val="8"/>
          <w:lang w:val="en-US" w:eastAsia="en-US"/>
        </w:rPr>
        <w:t>2020</w:t>
      </w:r>
      <w:r>
        <w:rPr>
          <w:rStyle w:val="any"/>
          <w:rFonts w:ascii="PMingLiU" w:eastAsia="PMingLiU" w:hAnsi="PMingLiU" w:cs="PMingLiU"/>
          <w:spacing w:val="8"/>
        </w:rPr>
        <w:t>年中国专家学术影响力排行榜前</w:t>
      </w:r>
      <w:r>
        <w:rPr>
          <w:rStyle w:val="any"/>
          <w:rFonts w:ascii="Times New Roman" w:eastAsia="Times New Roman" w:hAnsi="Times New Roman" w:cs="Times New Roman"/>
          <w:spacing w:val="8"/>
          <w:lang w:val="en-US" w:eastAsia="en-US"/>
        </w:rPr>
        <w:t>50</w:t>
      </w:r>
      <w:r>
        <w:rPr>
          <w:rStyle w:val="any"/>
          <w:rFonts w:ascii="PMingLiU" w:eastAsia="PMingLiU" w:hAnsi="PMingLiU" w:cs="PMingLiU"/>
          <w:spacing w:val="8"/>
        </w:rPr>
        <w:t>。主编《儿科疑难病》，参编专著</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本。共培养硕士研究生</w:t>
      </w:r>
      <w:r>
        <w:rPr>
          <w:rStyle w:val="any"/>
          <w:rFonts w:ascii="Times New Roman" w:eastAsia="Times New Roman" w:hAnsi="Times New Roman" w:cs="Times New Roman"/>
          <w:spacing w:val="8"/>
          <w:lang w:val="en-US" w:eastAsia="en-US"/>
        </w:rPr>
        <w:t>19</w:t>
      </w:r>
      <w:r>
        <w:rPr>
          <w:rStyle w:val="any"/>
          <w:rFonts w:ascii="PMingLiU" w:eastAsia="PMingLiU" w:hAnsi="PMingLiU" w:cs="PMingLiU"/>
          <w:spacing w:val="8"/>
        </w:rPr>
        <w:t>人，博士生</w:t>
      </w:r>
      <w:r>
        <w:rPr>
          <w:rStyle w:val="any"/>
          <w:rFonts w:ascii="Times New Roman" w:eastAsia="Times New Roman" w:hAnsi="Times New Roman" w:cs="Times New Roman"/>
          <w:spacing w:val="8"/>
          <w:lang w:val="en-US" w:eastAsia="en-US"/>
        </w:rPr>
        <w:t>10</w:t>
      </w:r>
      <w:r>
        <w:rPr>
          <w:rStyle w:val="any"/>
          <w:rFonts w:ascii="PMingLiU" w:eastAsia="PMingLiU" w:hAnsi="PMingLiU" w:cs="PMingLiU"/>
          <w:spacing w:val="8"/>
        </w:rPr>
        <w:t>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https://pubpeer.com/publications/7C648CDEB45729BB70524DFBF537F4#0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443&amp;idx=2&amp;sn=882051836e5d9e4fcd3cf0611cd5190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