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上海药物研究所耿美玉团队论文图片重复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15:54:35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顶刊重复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\x26lt;/a\x26gt;\x26lt;a href=\x26quot;https://mp.weixin.qq.com/mp/readtemplate?t=pages/link_mid_jump\x26biz=MzI4NjMwOTIwNQ==\x26quot; target=\x26quot;_blank\x26quot; class=\x26quot;js_mention_entry wx_at_link\x26quot; data-biz=\x26quot;MzI4NjMwOTIwNQ==\x26quot; data-username=\x26quot;gh_b48d00dd4952\x26quot;\x26gt;@ResearchGate\x26lt;/a\x26gt;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0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55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68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2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43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29&amp;idx=1&amp;sn=138480f5b816718ba06697927ab46f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