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杰青周洁团队发表的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09:52:16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07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08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[4]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诚信科研编辑部通过筛库，发现2018年7月26日中山大学周洁团队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Experimental Medicine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ICAM-1 controls development and function of ILC2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42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3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24125" cy="1581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50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对所有图片（蛋白印迹除外）进行检测，iFigures发现文章间存在1对图片重复使用：图3F-2与5E-2是一样的图片（除了显示的数字不一样），但是代表明显不同的实验结果。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5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06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诚信科研编辑部通过筛库，发现2016年8月22日中山大学周洁团队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Immunology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Atorvastatin promotes the expansion of myeloid-derived suppressor cells and attenuates murine colitis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3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18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2858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31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对所有图片（蛋白印迹除外）进行检测，iFigures发现文章间存在1对图片重复使用：图4E-2与4E-1出现部分重叠，但是代表明显不同的实验结果。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6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38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诚信科研编辑部通过筛库，发现2021年12月17日天津医科大学周洁团队等团队合作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Mucosal Immunology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IF=7.9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Adenosine restrains ILC2-driven allergic airway inflammation via A2A receptor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”的研究论文（文章由于图片重复使用，更正过一次），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46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22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1906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7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对所有图片（蛋白印迹除外）进行检测，iFigures发现文章间存在1对图片重复使用：图2G-2与3D-1出现部分重叠，但是代表明显不同的实验结果。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48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16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诚信科研将图3D-1旋转90°，得到3D-1-XZ，发现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3D-1-XZ与2G-2出现部分重叠。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95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57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，与杂志社联系再次更正文章重复的图片。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诚信科研编辑部通过筛库，发现2022年1月19日天津医科大学周洁团队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Angiotensin II enhances group 2 innate lymphoid cell responses via AT1a during airway inflammation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4657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65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53352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69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对所有图片进行检测，iFigures发现文章间存在1对图片重复使用：图5G-1与5G-2出现部分重叠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815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4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79&amp;idx=1&amp;sn=3db26b37d2bdb3f4516b58ab587b9f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