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浙江大学医学院附属第二医院某研究团队所发文章被质疑文章内发生图片重叠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2025-04-23 10:44:55</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177335"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2013 年 1 月 9 日，浙江大学医学院附属第二医院Wan Ting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Investigative ophthalmology &amp; visual science</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Functional analyses of TNFR2 in physiological and pathological retina angiogenesis</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774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709551" name=""/>
                    <pic:cNvPicPr>
                      <a:picLocks noChangeAspect="1"/>
                    </pic:cNvPicPr>
                  </pic:nvPicPr>
                  <pic:blipFill>
                    <a:blip xmlns:r="http://schemas.openxmlformats.org/officeDocument/2006/relationships" r:embed="rId7"/>
                    <a:stretch>
                      <a:fillRect/>
                    </a:stretch>
                  </pic:blipFill>
                  <pic:spPr>
                    <a:xfrm>
                      <a:off x="0" y="0"/>
                      <a:ext cx="5486400" cy="237744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486400" cy="2716306"/>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698335" name=""/>
                    <pic:cNvPicPr>
                      <a:picLocks noChangeAspect="1"/>
                    </pic:cNvPicPr>
                  </pic:nvPicPr>
                  <pic:blipFill>
                    <a:blip xmlns:r="http://schemas.openxmlformats.org/officeDocument/2006/relationships" r:embed="rId8"/>
                    <a:stretch>
                      <a:fillRect/>
                    </a:stretch>
                  </pic:blipFill>
                  <pic:spPr>
                    <a:xfrm>
                      <a:off x="0" y="0"/>
                      <a:ext cx="5486400" cy="2716306"/>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https://pubpeer.com/publications/028912A778A1E1325306EF4BC3C92D#0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224751"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564088"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8258&amp;idx=4&amp;sn=ff826f9fffa47810c16bd5ade8b67c9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