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方法和结果上存在科学缺陷及不一致，山西医科大学第一医院党委书记徐钧的论文被撤稿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2025-04-03 13:55:18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60836"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4297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 xml:space="preserve">Jun Xu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徐钧</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76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74255" name=""/>
                    <pic:cNvPicPr>
                      <a:picLocks noChangeAspect="1"/>
                    </pic:cNvPicPr>
                  </pic:nvPicPr>
                  <pic:blipFill>
                    <a:blip xmlns:r="http://schemas.openxmlformats.org/officeDocument/2006/relationships" r:embed="rId8"/>
                    <a:stretch>
                      <a:fillRect/>
                    </a:stretch>
                  </pic:blipFill>
                  <pic:spPr>
                    <a:xfrm>
                      <a:off x="0" y="0"/>
                      <a:ext cx="5486400" cy="4876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03627"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9763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 </w:t>
      </w:r>
      <w:r>
        <w:rPr>
          <w:rStyle w:val="any"/>
          <w:rFonts w:ascii="Microsoft YaHei UI" w:eastAsia="Microsoft YaHei UI" w:hAnsi="Microsoft YaHei UI" w:cs="Microsoft YaHei UI"/>
          <w:b/>
          <w:bCs/>
          <w:i w:val="0"/>
          <w:iCs w:val="0"/>
          <w:caps w:val="0"/>
          <w:color w:val="3E3E3E"/>
          <w:spacing w:val="9"/>
          <w:sz w:val="21"/>
          <w:szCs w:val="21"/>
        </w:rPr>
        <w:t>4F的WB印迹与一篇无关论文重复。</w:t>
      </w:r>
      <w:r>
        <w:rPr>
          <w:rStyle w:val="any"/>
          <w:rFonts w:ascii="Microsoft YaHei UI" w:eastAsia="Microsoft YaHei UI" w:hAnsi="Microsoft YaHei UI" w:cs="Microsoft YaHei UI"/>
          <w:b w:val="0"/>
          <w:bCs w:val="0"/>
          <w:i w:val="0"/>
          <w:iCs w:val="0"/>
          <w:caps w:val="0"/>
          <w:color w:val="3E3E3E"/>
          <w:spacing w:val="9"/>
          <w:sz w:val="21"/>
          <w:szCs w:val="21"/>
        </w:rPr>
        <w:t>  </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31201"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37927"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5525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color w:val="3E3E3E"/>
          <w:spacing w:val="9"/>
          <w:sz w:val="21"/>
          <w:szCs w:val="21"/>
        </w:rPr>
        <w:t>上述文章于2023年1月16日在线发表于Wiley Online Library（wileyonlinelibrary.com），现已由该期刊主编Marc Veldhoen与John Wiley &amp; Sons Ltd.协商一致后撤回。此次撤回是因为该文章在方法和结果部分存在科学缺陷和不一致之处。尽管作者提供了一些支持性数据，但这些数据并不充分，且问题依然存在。编辑们对该研究的结果和结论已失去信心。而作者则对撤回决定表示异议。</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7472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980&amp;idx=5&amp;sn=c5c0a2c53a63ce16a833c47a22e7282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