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3781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16263"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99032"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