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约翰霍普金斯大学万梅团队发表的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子刊文章存在图片旋转重复使用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15:50:38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81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76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约翰霍普金斯大学万梅团队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Nature Communications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RhoA determines lineage fate of mesenchymal stem cells by modulating CTGF-VEGF complex in extracellular matrix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的研究论文，文章存在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对图片旋转重复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78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46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550" cy="2000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21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对所有图片进行检测（蛋白印迹除外），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7D-2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7F-4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出现旋转重叠，但是代表明显不同的实验结果。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3001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7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诚信科研将图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7D-2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7F-4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放大，同时将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7F-4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进行旋转，得到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7F-4-XZ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，发现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7D-2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7F-4-XZ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是一样的图片。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09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0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诚信科研编辑部建议作者核查原始数据，再次联系杂志社进一步更正文章重复的图片。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1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827&amp;idx=1&amp;sn=168da31a862fab0db249fc407fb4f2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