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湘雅医学院附属海口医院口腔医学中心</w:t>
        </w:r>
        <w:r>
          <w:rPr>
            <w:rStyle w:val="a"/>
            <w:rFonts w:ascii="Times New Roman" w:eastAsia="Times New Roman" w:hAnsi="Times New Roman" w:cs="Times New Roman"/>
            <w:b w:val="0"/>
            <w:bCs w:val="0"/>
            <w:spacing w:val="8"/>
          </w:rPr>
          <w:t>Cancer Manag Res</w:t>
        </w:r>
        <w:r>
          <w:rPr>
            <w:rStyle w:val="a"/>
            <w:rFonts w:ascii="PMingLiU" w:eastAsia="PMingLiU" w:hAnsi="PMingLiU" w:cs="PMingLiU"/>
            <w:b w:val="0"/>
            <w:bCs w:val="0"/>
            <w:spacing w:val="8"/>
          </w:rPr>
          <w:t>数据完整性担忧遭撤回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2025-04-23 09:35:41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58"/>
        <w:gridCol w:w="29222"/>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18217"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湘雅医学院附属海口医院口腔医学中心</w:t>
            </w:r>
            <w:r>
              <w:rPr>
                <w:rStyle w:val="any"/>
                <w:b/>
                <w:bCs/>
                <w:i w:val="0"/>
                <w:iCs w:val="0"/>
                <w:caps w:val="0"/>
                <w:smallCaps w:val="0"/>
                <w:color w:val="111111"/>
                <w:spacing w:val="8"/>
                <w:sz w:val="28"/>
                <w:szCs w:val="28"/>
              </w:rPr>
              <w:t>Cancer Manag Res</w:t>
            </w:r>
            <w:r>
              <w:rPr>
                <w:rStyle w:val="any"/>
                <w:rFonts w:ascii="PMingLiU" w:eastAsia="PMingLiU" w:hAnsi="PMingLiU" w:cs="PMingLiU"/>
                <w:b/>
                <w:bCs/>
                <w:i w:val="0"/>
                <w:iCs w:val="0"/>
                <w:caps w:val="0"/>
                <w:smallCaps w:val="0"/>
                <w:color w:val="111111"/>
                <w:spacing w:val="8"/>
                <w:sz w:val="28"/>
                <w:szCs w:val="28"/>
              </w:rPr>
              <w:t>数据完整性担忧遭撤回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Silencing of LncRNA SNHG16 Downregulates Cyclin D1 (CCND1) to Abrogate Malignant Phenotypes in Oral Squamous Cell Carcinoma (OSCC) Through Upregulating miR-17-5p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沉默</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通过上调</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下调</w:t>
            </w:r>
            <w:r>
              <w:rPr>
                <w:rStyle w:val="any"/>
                <w:rFonts w:ascii="Tahoma" w:eastAsia="Tahoma" w:hAnsi="Tahoma" w:cs="Tahoma"/>
                <w:b w:val="0"/>
                <w:bCs w:val="0"/>
                <w:i w:val="0"/>
                <w:iCs w:val="0"/>
                <w:caps w:val="0"/>
                <w:smallCaps w:val="0"/>
                <w:color w:val="111111"/>
                <w:spacing w:val="8"/>
                <w:sz w:val="21"/>
                <w:szCs w:val="21"/>
              </w:rPr>
              <w:t>Cyclin D1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CCND1</w:t>
            </w:r>
            <w:r>
              <w:rPr>
                <w:rStyle w:val="any"/>
                <w:rFonts w:ascii="PMingLiU" w:eastAsia="PMingLiU" w:hAnsi="PMingLiU" w:cs="PMingLiU"/>
                <w:b w:val="0"/>
                <w:bCs w:val="0"/>
                <w:i w:val="0"/>
                <w:iCs w:val="0"/>
                <w:caps w:val="0"/>
                <w:smallCaps w:val="0"/>
                <w:color w:val="111111"/>
                <w:spacing w:val="8"/>
                <w:sz w:val="21"/>
                <w:szCs w:val="21"/>
              </w:rPr>
              <w:t>）以消除口腔鳞状细胞癌（</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）的恶性表型</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背景：靶向长非编码</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LncRNAs</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微小</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miRNAs</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-mRNA</w:t>
            </w:r>
            <w:r>
              <w:rPr>
                <w:rStyle w:val="any"/>
                <w:rFonts w:ascii="PMingLiU" w:eastAsia="PMingLiU" w:hAnsi="PMingLiU" w:cs="PMingLiU"/>
                <w:b w:val="0"/>
                <w:bCs w:val="0"/>
                <w:i w:val="0"/>
                <w:iCs w:val="0"/>
                <w:caps w:val="0"/>
                <w:smallCaps w:val="0"/>
                <w:color w:val="111111"/>
                <w:spacing w:val="8"/>
                <w:sz w:val="21"/>
                <w:szCs w:val="21"/>
              </w:rPr>
              <w:t>竞争内源性</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ceRNA</w:t>
            </w:r>
            <w:r>
              <w:rPr>
                <w:rStyle w:val="any"/>
                <w:rFonts w:ascii="PMingLiU" w:eastAsia="PMingLiU" w:hAnsi="PMingLiU" w:cs="PMingLiU"/>
                <w:b w:val="0"/>
                <w:bCs w:val="0"/>
                <w:i w:val="0"/>
                <w:iCs w:val="0"/>
                <w:caps w:val="0"/>
                <w:smallCaps w:val="0"/>
                <w:color w:val="111111"/>
                <w:spacing w:val="8"/>
                <w:sz w:val="21"/>
                <w:szCs w:val="21"/>
              </w:rPr>
              <w:t>）网络已被证明是治疗包括口腔鳞状细胞癌（</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）在内的多种癌症的有效策略。基于此，本研究确定了一种新的</w:t>
            </w:r>
            <w:r>
              <w:rPr>
                <w:rStyle w:val="any"/>
                <w:rFonts w:ascii="Tahoma" w:eastAsia="Tahoma" w:hAnsi="Tahoma" w:cs="Tahoma"/>
                <w:b w:val="0"/>
                <w:bCs w:val="0"/>
                <w:i w:val="0"/>
                <w:iCs w:val="0"/>
                <w:caps w:val="0"/>
                <w:smallCaps w:val="0"/>
                <w:color w:val="111111"/>
                <w:spacing w:val="8"/>
                <w:sz w:val="21"/>
                <w:szCs w:val="21"/>
              </w:rPr>
              <w:t>LncRNA SNHG16/miR-17-5p/CCND1</w:t>
            </w:r>
            <w:r>
              <w:rPr>
                <w:rStyle w:val="any"/>
                <w:rFonts w:ascii="PMingLiU" w:eastAsia="PMingLiU" w:hAnsi="PMingLiU" w:cs="PMingLiU"/>
                <w:b w:val="0"/>
                <w:bCs w:val="0"/>
                <w:i w:val="0"/>
                <w:iCs w:val="0"/>
                <w:caps w:val="0"/>
                <w:smallCaps w:val="0"/>
                <w:color w:val="111111"/>
                <w:spacing w:val="8"/>
                <w:sz w:val="21"/>
                <w:szCs w:val="21"/>
              </w:rPr>
              <w:t>信号通路，该通路在调节</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的发病机制中起着重要作用。方法：采用实时</w:t>
            </w:r>
            <w:r>
              <w:rPr>
                <w:rStyle w:val="any"/>
                <w:rFonts w:ascii="Tahoma" w:eastAsia="Tahoma" w:hAnsi="Tahoma" w:cs="Tahoma"/>
                <w:b w:val="0"/>
                <w:bCs w:val="0"/>
                <w:i w:val="0"/>
                <w:iCs w:val="0"/>
                <w:caps w:val="0"/>
                <w:smallCaps w:val="0"/>
                <w:color w:val="111111"/>
                <w:spacing w:val="8"/>
                <w:sz w:val="21"/>
                <w:szCs w:val="21"/>
              </w:rPr>
              <w:t>qPCR</w:t>
            </w:r>
            <w:r>
              <w:rPr>
                <w:rStyle w:val="any"/>
                <w:rFonts w:ascii="PMingLiU" w:eastAsia="PMingLiU" w:hAnsi="PMingLiU" w:cs="PMingLiU"/>
                <w:b w:val="0"/>
                <w:bCs w:val="0"/>
                <w:i w:val="0"/>
                <w:iCs w:val="0"/>
                <w:caps w:val="0"/>
                <w:smallCaps w:val="0"/>
                <w:color w:val="111111"/>
                <w:spacing w:val="8"/>
                <w:sz w:val="21"/>
                <w:szCs w:val="21"/>
              </w:rPr>
              <w:t>和蛋白质印迹法分别在转录和翻译水平检测癌症相关基因的表达水平。进行</w:t>
            </w:r>
            <w:r>
              <w:rPr>
                <w:rStyle w:val="any"/>
                <w:rFonts w:ascii="Tahoma" w:eastAsia="Tahoma" w:hAnsi="Tahoma" w:cs="Tahoma"/>
                <w:b w:val="0"/>
                <w:bCs w:val="0"/>
                <w:i w:val="0"/>
                <w:iCs w:val="0"/>
                <w:caps w:val="0"/>
                <w:smallCaps w:val="0"/>
                <w:color w:val="111111"/>
                <w:spacing w:val="8"/>
                <w:sz w:val="21"/>
                <w:szCs w:val="21"/>
              </w:rPr>
              <w:t>CCK-8</w:t>
            </w:r>
            <w:r>
              <w:rPr>
                <w:rStyle w:val="any"/>
                <w:rFonts w:ascii="PMingLiU" w:eastAsia="PMingLiU" w:hAnsi="PMingLiU" w:cs="PMingLiU"/>
                <w:b w:val="0"/>
                <w:bCs w:val="0"/>
                <w:i w:val="0"/>
                <w:iCs w:val="0"/>
                <w:caps w:val="0"/>
                <w:smallCaps w:val="0"/>
                <w:color w:val="111111"/>
                <w:spacing w:val="8"/>
                <w:sz w:val="21"/>
                <w:szCs w:val="21"/>
              </w:rPr>
              <w:t>测定以确定细胞增殖，并通过</w:t>
            </w:r>
            <w:r>
              <w:rPr>
                <w:rStyle w:val="any"/>
                <w:rFonts w:ascii="Tahoma" w:eastAsia="Tahoma" w:hAnsi="Tahoma" w:cs="Tahoma"/>
                <w:b w:val="0"/>
                <w:bCs w:val="0"/>
                <w:i w:val="0"/>
                <w:iCs w:val="0"/>
                <w:caps w:val="0"/>
                <w:smallCaps w:val="0"/>
                <w:color w:val="111111"/>
                <w:spacing w:val="8"/>
                <w:sz w:val="21"/>
                <w:szCs w:val="21"/>
              </w:rPr>
              <w:t>Annexin V-FITC/PI</w:t>
            </w:r>
            <w:r>
              <w:rPr>
                <w:rStyle w:val="any"/>
                <w:rFonts w:ascii="PMingLiU" w:eastAsia="PMingLiU" w:hAnsi="PMingLiU" w:cs="PMingLiU"/>
                <w:b w:val="0"/>
                <w:bCs w:val="0"/>
                <w:i w:val="0"/>
                <w:iCs w:val="0"/>
                <w:caps w:val="0"/>
                <w:smallCaps w:val="0"/>
                <w:color w:val="111111"/>
                <w:spacing w:val="8"/>
                <w:sz w:val="21"/>
                <w:szCs w:val="21"/>
              </w:rPr>
              <w:t>双染色测定细胞凋亡率。</w:t>
            </w:r>
            <w:r>
              <w:rPr>
                <w:rStyle w:val="any"/>
                <w:rFonts w:ascii="Tahoma" w:eastAsia="Tahoma" w:hAnsi="Tahoma" w:cs="Tahoma"/>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检测用于检测细胞迁移，双荧光素酶报告基因系统检测用于验证</w:t>
            </w:r>
            <w:r>
              <w:rPr>
                <w:rStyle w:val="any"/>
                <w:rFonts w:ascii="Tahoma" w:eastAsia="Tahoma" w:hAnsi="Tahoma" w:cs="Tahoma"/>
                <w:b w:val="0"/>
                <w:bCs w:val="0"/>
                <w:i w:val="0"/>
                <w:iCs w:val="0"/>
                <w:caps w:val="0"/>
                <w:smallCaps w:val="0"/>
                <w:color w:val="111111"/>
                <w:spacing w:val="8"/>
                <w:sz w:val="21"/>
                <w:szCs w:val="21"/>
              </w:rPr>
              <w:t>ceRNA</w:t>
            </w:r>
            <w:r>
              <w:rPr>
                <w:rStyle w:val="any"/>
                <w:rFonts w:ascii="PMingLiU" w:eastAsia="PMingLiU" w:hAnsi="PMingLiU" w:cs="PMingLiU"/>
                <w:b w:val="0"/>
                <w:bCs w:val="0"/>
                <w:i w:val="0"/>
                <w:iCs w:val="0"/>
                <w:caps w:val="0"/>
                <w:smallCaps w:val="0"/>
                <w:color w:val="111111"/>
                <w:spacing w:val="8"/>
                <w:sz w:val="21"/>
                <w:szCs w:val="21"/>
              </w:rPr>
              <w:t>网络。结果：与正常对照组相比，</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CCND1</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组织和细胞系中上调，而</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下调。此外，在</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组织中，</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与</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CCND1 mRNA</w:t>
            </w:r>
            <w:r>
              <w:rPr>
                <w:rStyle w:val="any"/>
                <w:rFonts w:ascii="PMingLiU" w:eastAsia="PMingLiU" w:hAnsi="PMingLiU" w:cs="PMingLiU"/>
                <w:b w:val="0"/>
                <w:bCs w:val="0"/>
                <w:i w:val="0"/>
                <w:iCs w:val="0"/>
                <w:caps w:val="0"/>
                <w:smallCaps w:val="0"/>
                <w:color w:val="111111"/>
                <w:spacing w:val="8"/>
                <w:sz w:val="21"/>
                <w:szCs w:val="21"/>
              </w:rPr>
              <w:t>均呈负相关，但</w:t>
            </w:r>
            <w:r>
              <w:rPr>
                <w:rStyle w:val="any"/>
                <w:rFonts w:ascii="Tahoma" w:eastAsia="Tahoma" w:hAnsi="Tahoma" w:cs="Tahoma"/>
                <w:b w:val="0"/>
                <w:bCs w:val="0"/>
                <w:i w:val="0"/>
                <w:iCs w:val="0"/>
                <w:caps w:val="0"/>
                <w:smallCaps w:val="0"/>
                <w:color w:val="111111"/>
                <w:spacing w:val="8"/>
                <w:sz w:val="21"/>
                <w:szCs w:val="21"/>
              </w:rPr>
              <w:t>LncRNA SNCG16</w:t>
            </w:r>
            <w:r>
              <w:rPr>
                <w:rStyle w:val="any"/>
                <w:rFonts w:ascii="PMingLiU" w:eastAsia="PMingLiU" w:hAnsi="PMingLiU" w:cs="PMingLiU"/>
                <w:b w:val="0"/>
                <w:bCs w:val="0"/>
                <w:i w:val="0"/>
                <w:iCs w:val="0"/>
                <w:caps w:val="0"/>
                <w:smallCaps w:val="0"/>
                <w:color w:val="111111"/>
                <w:spacing w:val="8"/>
                <w:sz w:val="21"/>
                <w:szCs w:val="21"/>
              </w:rPr>
              <w:t>与</w:t>
            </w:r>
            <w:r>
              <w:rPr>
                <w:rStyle w:val="any"/>
                <w:rFonts w:ascii="Tahoma" w:eastAsia="Tahoma" w:hAnsi="Tahoma" w:cs="Tahoma"/>
                <w:b w:val="0"/>
                <w:bCs w:val="0"/>
                <w:i w:val="0"/>
                <w:iCs w:val="0"/>
                <w:caps w:val="0"/>
                <w:smallCaps w:val="0"/>
                <w:color w:val="111111"/>
                <w:spacing w:val="8"/>
                <w:sz w:val="21"/>
                <w:szCs w:val="21"/>
              </w:rPr>
              <w:t>CCND1 RNA</w:t>
            </w:r>
            <w:r>
              <w:rPr>
                <w:rStyle w:val="any"/>
                <w:rFonts w:ascii="PMingLiU" w:eastAsia="PMingLiU" w:hAnsi="PMingLiU" w:cs="PMingLiU"/>
                <w:b w:val="0"/>
                <w:bCs w:val="0"/>
                <w:i w:val="0"/>
                <w:iCs w:val="0"/>
                <w:caps w:val="0"/>
                <w:smallCaps w:val="0"/>
                <w:color w:val="111111"/>
                <w:spacing w:val="8"/>
                <w:sz w:val="21"/>
                <w:szCs w:val="21"/>
              </w:rPr>
              <w:t>呈正相关。通过进行功能获得和丧失实验，我们注意到</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过表达加重了</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细胞中的恶性表型，如细胞增殖、存活率、迁移和上皮间质转化（</w:t>
            </w:r>
            <w:r>
              <w:rPr>
                <w:rStyle w:val="any"/>
                <w:rFonts w:ascii="Tahoma" w:eastAsia="Tahoma" w:hAnsi="Tahoma" w:cs="Tahoma"/>
                <w:b w:val="0"/>
                <w:bCs w:val="0"/>
                <w:i w:val="0"/>
                <w:iCs w:val="0"/>
                <w:caps w:val="0"/>
                <w:smallCaps w:val="0"/>
                <w:color w:val="111111"/>
                <w:spacing w:val="8"/>
                <w:sz w:val="21"/>
                <w:szCs w:val="21"/>
              </w:rPr>
              <w:t>EMT</w:t>
            </w:r>
            <w:r>
              <w:rPr>
                <w:rStyle w:val="any"/>
                <w:rFonts w:ascii="PMingLiU" w:eastAsia="PMingLiU" w:hAnsi="PMingLiU" w:cs="PMingLiU"/>
                <w:b w:val="0"/>
                <w:bCs w:val="0"/>
                <w:i w:val="0"/>
                <w:iCs w:val="0"/>
                <w:caps w:val="0"/>
                <w:smallCaps w:val="0"/>
                <w:color w:val="111111"/>
                <w:spacing w:val="8"/>
                <w:sz w:val="21"/>
                <w:szCs w:val="21"/>
              </w:rPr>
              <w:t>），而</w:t>
            </w:r>
            <w:r>
              <w:rPr>
                <w:rStyle w:val="any"/>
                <w:rFonts w:ascii="Tahoma" w:eastAsia="Tahoma" w:hAnsi="Tahoma" w:cs="Tahoma"/>
                <w:b w:val="0"/>
                <w:bCs w:val="0"/>
                <w:i w:val="0"/>
                <w:iCs w:val="0"/>
                <w:caps w:val="0"/>
                <w:smallCaps w:val="0"/>
                <w:color w:val="111111"/>
                <w:spacing w:val="8"/>
                <w:sz w:val="21"/>
                <w:szCs w:val="21"/>
              </w:rPr>
              <w:t>LncRNA SNCG16</w:t>
            </w:r>
            <w:r>
              <w:rPr>
                <w:rStyle w:val="any"/>
                <w:rFonts w:ascii="PMingLiU" w:eastAsia="PMingLiU" w:hAnsi="PMingLiU" w:cs="PMingLiU"/>
                <w:b w:val="0"/>
                <w:bCs w:val="0"/>
                <w:i w:val="0"/>
                <w:iCs w:val="0"/>
                <w:caps w:val="0"/>
                <w:smallCaps w:val="0"/>
                <w:color w:val="111111"/>
                <w:spacing w:val="8"/>
                <w:sz w:val="21"/>
                <w:szCs w:val="21"/>
              </w:rPr>
              <w:t>敲除则具有相反的效果。此外，我们的双荧光素酶报告基因系统证明，</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吸附</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，上调</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细胞中的</w:t>
            </w:r>
            <w:r>
              <w:rPr>
                <w:rStyle w:val="any"/>
                <w:rFonts w:ascii="Tahoma" w:eastAsia="Tahoma" w:hAnsi="Tahoma" w:cs="Tahoma"/>
                <w:b w:val="0"/>
                <w:bCs w:val="0"/>
                <w:i w:val="0"/>
                <w:iCs w:val="0"/>
                <w:caps w:val="0"/>
                <w:smallCaps w:val="0"/>
                <w:color w:val="111111"/>
                <w:spacing w:val="8"/>
                <w:sz w:val="21"/>
                <w:szCs w:val="21"/>
              </w:rPr>
              <w:t>CCND1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LncRNA-SNHG16</w:t>
            </w:r>
            <w:r>
              <w:rPr>
                <w:rStyle w:val="any"/>
                <w:rFonts w:ascii="PMingLiU" w:eastAsia="PMingLiU" w:hAnsi="PMingLiU" w:cs="PMingLiU"/>
                <w:b w:val="0"/>
                <w:bCs w:val="0"/>
                <w:i w:val="0"/>
                <w:iCs w:val="0"/>
                <w:caps w:val="0"/>
                <w:smallCaps w:val="0"/>
                <w:color w:val="111111"/>
                <w:spacing w:val="8"/>
                <w:sz w:val="21"/>
                <w:szCs w:val="21"/>
              </w:rPr>
              <w:t>消融对</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进展的抑制作用被下调</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和过表达</w:t>
            </w:r>
            <w:r>
              <w:rPr>
                <w:rStyle w:val="any"/>
                <w:rFonts w:ascii="Tahoma" w:eastAsia="Tahoma" w:hAnsi="Tahoma" w:cs="Tahoma"/>
                <w:b w:val="0"/>
                <w:bCs w:val="0"/>
                <w:i w:val="0"/>
                <w:iCs w:val="0"/>
                <w:caps w:val="0"/>
                <w:smallCaps w:val="0"/>
                <w:color w:val="111111"/>
                <w:spacing w:val="8"/>
                <w:sz w:val="21"/>
                <w:szCs w:val="21"/>
              </w:rPr>
              <w:t>CCND1</w:t>
            </w:r>
            <w:r>
              <w:rPr>
                <w:rStyle w:val="any"/>
                <w:rFonts w:ascii="PMingLiU" w:eastAsia="PMingLiU" w:hAnsi="PMingLiU" w:cs="PMingLiU"/>
                <w:b w:val="0"/>
                <w:bCs w:val="0"/>
                <w:i w:val="0"/>
                <w:iCs w:val="0"/>
                <w:caps w:val="0"/>
                <w:smallCaps w:val="0"/>
                <w:color w:val="111111"/>
                <w:spacing w:val="8"/>
                <w:sz w:val="21"/>
                <w:szCs w:val="21"/>
              </w:rPr>
              <w:t>所抵消。最后，建立了异种移植荷瘤小鼠模型，我们的数据验证了</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作为癌基因在体内促进</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细胞的致瘤性。结论：综上所述，靶向</w:t>
            </w:r>
            <w:r>
              <w:rPr>
                <w:rStyle w:val="any"/>
                <w:rFonts w:ascii="Tahoma" w:eastAsia="Tahoma" w:hAnsi="Tahoma" w:cs="Tahoma"/>
                <w:b w:val="0"/>
                <w:bCs w:val="0"/>
                <w:i w:val="0"/>
                <w:iCs w:val="0"/>
                <w:caps w:val="0"/>
                <w:smallCaps w:val="0"/>
                <w:color w:val="111111"/>
                <w:spacing w:val="8"/>
                <w:sz w:val="21"/>
                <w:szCs w:val="21"/>
              </w:rPr>
              <w:t>LncRNA SNHG16/miR-17-5p/CCND1</w:t>
            </w:r>
            <w:r>
              <w:rPr>
                <w:rStyle w:val="any"/>
                <w:rFonts w:ascii="PMingLiU" w:eastAsia="PMingLiU" w:hAnsi="PMingLiU" w:cs="PMingLiU"/>
                <w:b w:val="0"/>
                <w:bCs w:val="0"/>
                <w:i w:val="0"/>
                <w:iCs w:val="0"/>
                <w:caps w:val="0"/>
                <w:smallCaps w:val="0"/>
                <w:color w:val="111111"/>
                <w:spacing w:val="8"/>
                <w:sz w:val="21"/>
                <w:szCs w:val="21"/>
              </w:rPr>
              <w:t>轴阻碍了</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的发展，本研究为</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的临床诊断和治疗提供了潜在的生物标志物。</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中南大学湘雅医学院附属海口医院口腔医学中心，海南省海口市，邮编</w:t>
            </w:r>
            <w:r>
              <w:rPr>
                <w:rStyle w:val="any"/>
                <w:rFonts w:ascii="Tahoma" w:eastAsia="Tahoma" w:hAnsi="Tahoma" w:cs="Tahoma"/>
                <w:b w:val="0"/>
                <w:bCs w:val="0"/>
                <w:i w:val="0"/>
                <w:iCs w:val="0"/>
                <w:caps w:val="0"/>
                <w:smallCaps w:val="0"/>
                <w:color w:val="111111"/>
                <w:spacing w:val="8"/>
                <w:sz w:val="21"/>
                <w:szCs w:val="21"/>
              </w:rPr>
              <w:t>570208</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中南大学湘雅医院口腔颌面外科，湖南长沙，</w:t>
            </w:r>
            <w:r>
              <w:rPr>
                <w:rStyle w:val="any"/>
                <w:b w:val="0"/>
                <w:bCs w:val="0"/>
                <w:i w:val="0"/>
                <w:iCs w:val="0"/>
                <w:caps w:val="0"/>
                <w:smallCaps w:val="0"/>
                <w:color w:val="111111"/>
                <w:spacing w:val="8"/>
                <w:sz w:val="21"/>
                <w:szCs w:val="21"/>
              </w:rPr>
              <w:t>410008</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Cancer Manag Res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数据完整性担忧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我们，《癌症管理与研究》杂志的编辑和出版者，将撤回已发表的文章。自发表以来，第三方对本文中数据的完整性提出了担忧。随后，作者向编辑通报了对文章中数据可靠性的重大担忧，因此要求撤回文章。由于编辑和出版商也对报告结果的完整性表示担忧，各方已同意撤回该文章，以确保学术记录的正确性。我们的编辑政策和</w:t>
            </w:r>
            <w:r>
              <w:rPr>
                <w:rStyle w:val="any"/>
                <w:rFonts w:ascii="Tahoma" w:eastAsia="Tahoma" w:hAnsi="Tahoma" w:cs="Tahoma"/>
                <w:b w:val="0"/>
                <w:bCs w:val="0"/>
                <w:i w:val="0"/>
                <w:iCs w:val="0"/>
                <w:caps w:val="0"/>
                <w:smallCaps w:val="0"/>
                <w:color w:val="111111"/>
                <w:spacing w:val="8"/>
                <w:sz w:val="21"/>
                <w:szCs w:val="21"/>
              </w:rPr>
              <w:t>COPE</w:t>
            </w:r>
            <w:r>
              <w:rPr>
                <w:rStyle w:val="any"/>
                <w:rFonts w:ascii="PMingLiU" w:eastAsia="PMingLiU" w:hAnsi="PMingLiU" w:cs="PMingLiU"/>
                <w:b w:val="0"/>
                <w:bCs w:val="0"/>
                <w:i w:val="0"/>
                <w:iCs w:val="0"/>
                <w:caps w:val="0"/>
                <w:smallCaps w:val="0"/>
                <w:color w:val="111111"/>
                <w:spacing w:val="8"/>
                <w:sz w:val="21"/>
                <w:szCs w:val="21"/>
              </w:rPr>
              <w:t>指南为我们的决策提供了信息。被撤回的文章将保留在网上以保持学术记录，但每页都会以数字水印标记为</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已撤回</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08283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35819" name=""/>
                          <pic:cNvPicPr>
                            <a:picLocks noChangeAspect="1"/>
                          </pic:cNvPicPr>
                        </pic:nvPicPr>
                        <pic:blipFill>
                          <a:blip xmlns:r="http://schemas.openxmlformats.org/officeDocument/2006/relationships" r:embed="rId7"/>
                          <a:stretch>
                            <a:fillRect/>
                          </a:stretch>
                        </pic:blipFill>
                        <pic:spPr>
                          <a:xfrm>
                            <a:off x="0" y="0"/>
                            <a:ext cx="3655791" cy="20828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075" cy="146370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90590" name=""/>
                          <pic:cNvPicPr>
                            <a:picLocks noChangeAspect="1"/>
                          </pic:cNvPicPr>
                        </pic:nvPicPr>
                        <pic:blipFill>
                          <a:blip xmlns:r="http://schemas.openxmlformats.org/officeDocument/2006/relationships" r:embed="rId8"/>
                          <a:stretch>
                            <a:fillRect/>
                          </a:stretch>
                        </pic:blipFill>
                        <pic:spPr>
                          <a:xfrm>
                            <a:off x="0" y="0"/>
                            <a:ext cx="3650075" cy="146370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11592"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93221"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8825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722&amp;idx=1&amp;sn=dd3f31cc40e5e0a6bb95a78bb7ed4d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