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八篇重复，论文工厂无疑了！深圳市第三人民医院</w:t>
        </w:r>
        <w:r>
          <w:rPr>
            <w:rStyle w:val="a"/>
            <w:rFonts w:ascii="Times New Roman" w:eastAsia="Times New Roman" w:hAnsi="Times New Roman" w:cs="Times New Roman"/>
            <w:b w:val="0"/>
            <w:bCs w:val="0"/>
            <w:spacing w:val="8"/>
          </w:rPr>
          <w:t>Yi Xie</w:t>
        </w:r>
        <w:r>
          <w:rPr>
            <w:rStyle w:val="a"/>
            <w:rFonts w:ascii="PMingLiU" w:eastAsia="PMingLiU" w:hAnsi="PMingLiU" w:cs="PMingLiU"/>
            <w:b w:val="0"/>
            <w:bCs w:val="0"/>
            <w:spacing w:val="8"/>
          </w:rPr>
          <w:t>（音译：谢逸）团队论文被质疑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2025-04-23 08:01:44</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038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423206" name=""/>
                    <pic:cNvPicPr>
                      <a:picLocks noChangeAspect="1"/>
                    </pic:cNvPicPr>
                  </pic:nvPicPr>
                  <pic:blipFill>
                    <a:blip xmlns:r="http://schemas.openxmlformats.org/officeDocument/2006/relationships" r:embed="rId6"/>
                    <a:stretch>
                      <a:fillRect/>
                    </a:stretch>
                  </pic:blipFill>
                  <pic:spPr>
                    <a:xfrm>
                      <a:off x="0" y="0"/>
                      <a:ext cx="5486400" cy="3103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2019</w:t>
      </w:r>
      <w:r>
        <w:rPr>
          <w:rStyle w:val="any"/>
          <w:rFonts w:ascii="PMingLiU" w:eastAsia="PMingLiU" w:hAnsi="PMingLiU" w:cs="PMingLiU"/>
          <w:spacing w:val="8"/>
        </w:rPr>
        <w:t>年</w:t>
      </w:r>
      <w:r>
        <w:rPr>
          <w:rStyle w:val="any"/>
          <w:rFonts w:ascii="Times New Roman" w:eastAsia="Times New Roman" w:hAnsi="Times New Roman" w:cs="Times New Roman"/>
          <w:spacing w:val="8"/>
        </w:rPr>
        <w:t>5</w:t>
      </w:r>
      <w:r>
        <w:rPr>
          <w:rStyle w:val="any"/>
          <w:rFonts w:ascii="PMingLiU" w:eastAsia="PMingLiU" w:hAnsi="PMingLiU" w:cs="PMingLiU"/>
          <w:spacing w:val="8"/>
        </w:rPr>
        <w:t>月</w:t>
      </w:r>
      <w:r>
        <w:rPr>
          <w:rStyle w:val="any"/>
          <w:rFonts w:ascii="Times New Roman" w:eastAsia="Times New Roman" w:hAnsi="Times New Roman" w:cs="Times New Roman"/>
          <w:spacing w:val="8"/>
        </w:rPr>
        <w:t>28</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Anticancer activity of 1,25-(OH)&lt;sub&gt;2&lt;/sub&gt;D&lt;sub&gt;3&lt;/sub&gt; against human breast cancer cell lines by targeting Ras/MEK/ERK pathway</w:t>
      </w:r>
      <w:r>
        <w:rPr>
          <w:rStyle w:val="any"/>
          <w:rFonts w:ascii="PMingLiU" w:eastAsia="PMingLiU" w:hAnsi="PMingLiU" w:cs="PMingLiU"/>
          <w:spacing w:val="8"/>
        </w:rPr>
        <w:t>（</w:t>
      </w:r>
      <w:r>
        <w:rPr>
          <w:rStyle w:val="any"/>
          <w:rFonts w:ascii="Times New Roman" w:eastAsia="Times New Roman" w:hAnsi="Times New Roman" w:cs="Times New Roman"/>
          <w:spacing w:val="8"/>
        </w:rPr>
        <w:t>1,25-(OH)&lt;sub&gt;2&lt;/sub&gt;D&lt;sub&gt;3&lt;/sub&gt;</w:t>
      </w:r>
      <w:r>
        <w:rPr>
          <w:rStyle w:val="any"/>
          <w:rFonts w:ascii="PMingLiU" w:eastAsia="PMingLiU" w:hAnsi="PMingLiU" w:cs="PMingLiU"/>
          <w:spacing w:val="8"/>
        </w:rPr>
        <w:t>通过</w:t>
      </w:r>
      <w:r>
        <w:rPr>
          <w:rStyle w:val="any"/>
          <w:rFonts w:ascii="Times New Roman" w:eastAsia="Times New Roman" w:hAnsi="Times New Roman" w:cs="Times New Roman"/>
          <w:spacing w:val="8"/>
        </w:rPr>
        <w:t>Ras/MEK/ERK</w:t>
      </w:r>
      <w:r>
        <w:rPr>
          <w:rStyle w:val="any"/>
          <w:rFonts w:ascii="PMingLiU" w:eastAsia="PMingLiU" w:hAnsi="PMingLiU" w:cs="PMingLiU"/>
          <w:spacing w:val="8"/>
        </w:rPr>
        <w:t>通路对人乳腺癌细胞系的抗癌活性）的论文在《</w:t>
      </w:r>
      <w:r>
        <w:rPr>
          <w:rStyle w:val="any"/>
          <w:rFonts w:ascii="Times New Roman" w:eastAsia="Times New Roman" w:hAnsi="Times New Roman" w:cs="Times New Roman"/>
          <w:spacing w:val="8"/>
        </w:rPr>
        <w:t>OncoTargets and therapy</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10.2147/OTT.S190432</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928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085203" name=""/>
                    <pic:cNvPicPr>
                      <a:picLocks noChangeAspect="1"/>
                    </pic:cNvPicPr>
                  </pic:nvPicPr>
                  <pic:blipFill>
                    <a:blip xmlns:r="http://schemas.openxmlformats.org/officeDocument/2006/relationships" r:embed="rId7"/>
                    <a:stretch>
                      <a:fillRect/>
                    </a:stretch>
                  </pic:blipFill>
                  <pic:spPr>
                    <a:xfrm>
                      <a:off x="0" y="0"/>
                      <a:ext cx="5486400" cy="28792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René Aquarius</w:t>
      </w:r>
      <w:r>
        <w:rPr>
          <w:rStyle w:val="any"/>
          <w:rFonts w:ascii="PMingLiU" w:eastAsia="PMingLiU" w:hAnsi="PMingLiU" w:cs="PMingLiU"/>
          <w:spacing w:val="8"/>
        </w:rPr>
        <w:t>对该论文提出质疑，认为与其它七篇论文有图像重复。</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我们发现在这项研究中出现的数字和其他研究中出现的数字之间有意想不到的重叠</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见下图</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1988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083264" name=""/>
                    <pic:cNvPicPr>
                      <a:picLocks noChangeAspect="1"/>
                    </pic:cNvPicPr>
                  </pic:nvPicPr>
                  <pic:blipFill>
                    <a:blip xmlns:r="http://schemas.openxmlformats.org/officeDocument/2006/relationships" r:embed="rId8"/>
                    <a:stretch>
                      <a:fillRect/>
                    </a:stretch>
                  </pic:blipFill>
                  <pic:spPr>
                    <a:xfrm>
                      <a:off x="0" y="0"/>
                      <a:ext cx="5486400" cy="411988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1:</w:t>
      </w:r>
      <w:r>
        <w:rPr>
          <w:rStyle w:val="any"/>
          <w:rFonts w:ascii="Arial" w:eastAsia="Arial" w:hAnsi="Arial" w:cs="Arial"/>
          <w:b w:val="0"/>
          <w:bCs w:val="0"/>
          <w:i w:val="0"/>
          <w:iCs w:val="0"/>
          <w:caps w:val="0"/>
          <w:color w:val="333333"/>
          <w:spacing w:val="0"/>
          <w:sz w:val="23"/>
          <w:szCs w:val="23"/>
        </w:rPr>
        <w:t>https://pubmed.ncbi.nlm.nih.gov/28849073/</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2:</w:t>
      </w:r>
      <w:r>
        <w:rPr>
          <w:rStyle w:val="any"/>
          <w:rFonts w:ascii="Arial" w:eastAsia="Arial" w:hAnsi="Arial" w:cs="Arial"/>
          <w:b w:val="0"/>
          <w:bCs w:val="0"/>
          <w:i w:val="0"/>
          <w:iCs w:val="0"/>
          <w:caps w:val="0"/>
          <w:color w:val="333333"/>
          <w:spacing w:val="0"/>
          <w:sz w:val="23"/>
          <w:szCs w:val="23"/>
        </w:rPr>
        <w:t>https://pubmed.ncbi.nlm.nih.gov/30896871/</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3:</w:t>
      </w:r>
      <w:r>
        <w:rPr>
          <w:rStyle w:val="any"/>
          <w:rFonts w:ascii="Arial" w:eastAsia="Arial" w:hAnsi="Arial" w:cs="Arial"/>
          <w:b w:val="0"/>
          <w:bCs w:val="0"/>
          <w:i w:val="0"/>
          <w:iCs w:val="0"/>
          <w:caps w:val="0"/>
          <w:color w:val="333333"/>
          <w:spacing w:val="0"/>
          <w:sz w:val="23"/>
          <w:szCs w:val="23"/>
        </w:rPr>
        <w:t>https://pubmed.ncbi.nlm.nih.gov/31303834/</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4:</w:t>
      </w:r>
      <w:r>
        <w:rPr>
          <w:rStyle w:val="any"/>
          <w:rFonts w:ascii="Arial" w:eastAsia="Arial" w:hAnsi="Arial" w:cs="Arial"/>
          <w:b w:val="0"/>
          <w:bCs w:val="0"/>
          <w:i w:val="0"/>
          <w:iCs w:val="0"/>
          <w:caps w:val="0"/>
          <w:color w:val="333333"/>
          <w:spacing w:val="0"/>
          <w:sz w:val="23"/>
          <w:szCs w:val="23"/>
        </w:rPr>
        <w:t>https://pubmed.ncbi.nlm.nih.gov/30774359/</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5:</w:t>
      </w:r>
      <w:r>
        <w:rPr>
          <w:rStyle w:val="any"/>
          <w:rFonts w:ascii="Arial" w:eastAsia="Arial" w:hAnsi="Arial" w:cs="Arial"/>
          <w:b w:val="0"/>
          <w:bCs w:val="0"/>
          <w:i w:val="0"/>
          <w:iCs w:val="0"/>
          <w:caps w:val="0"/>
          <w:color w:val="333333"/>
          <w:spacing w:val="0"/>
          <w:sz w:val="23"/>
          <w:szCs w:val="23"/>
        </w:rPr>
        <w:t>https://pubmed.ncbi.nlm.nih.gov/28544557/</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6:</w:t>
      </w:r>
      <w:r>
        <w:rPr>
          <w:rStyle w:val="any"/>
          <w:rFonts w:ascii="Arial" w:eastAsia="Arial" w:hAnsi="Arial" w:cs="Arial"/>
          <w:b w:val="0"/>
          <w:bCs w:val="0"/>
          <w:i w:val="0"/>
          <w:iCs w:val="0"/>
          <w:caps w:val="0"/>
          <w:color w:val="333333"/>
          <w:spacing w:val="0"/>
          <w:sz w:val="23"/>
          <w:szCs w:val="23"/>
        </w:rPr>
        <w:t>https://pubmed.ncbi.nlm.nih.gov/29731863/</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7:</w:t>
      </w:r>
      <w:r>
        <w:rPr>
          <w:rStyle w:val="any"/>
          <w:rFonts w:ascii="Arial" w:eastAsia="Arial" w:hAnsi="Arial" w:cs="Arial"/>
          <w:b w:val="0"/>
          <w:bCs w:val="0"/>
          <w:i w:val="0"/>
          <w:iCs w:val="0"/>
          <w:caps w:val="0"/>
          <w:color w:val="333333"/>
          <w:spacing w:val="0"/>
          <w:sz w:val="23"/>
          <w:szCs w:val="23"/>
        </w:rPr>
        <w:t>https://pubmed.ncbi.nlm.nih.gov/30314994/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湖南省科技厅项目</w:t>
      </w:r>
      <w:r>
        <w:rPr>
          <w:rStyle w:val="any"/>
          <w:rFonts w:ascii="Times New Roman" w:eastAsia="Times New Roman" w:hAnsi="Times New Roman" w:cs="Times New Roman"/>
          <w:spacing w:val="8"/>
        </w:rPr>
        <w:t>[2013 sk 3189]</w:t>
      </w:r>
      <w:r>
        <w:rPr>
          <w:rStyle w:val="any"/>
          <w:rFonts w:ascii="PMingLiU" w:eastAsia="PMingLiU" w:hAnsi="PMingLiU" w:cs="PMingLiU"/>
          <w:spacing w:val="8"/>
        </w:rPr>
        <w:t>；湖南省教育厅科研基金</w:t>
      </w:r>
      <w:r>
        <w:rPr>
          <w:rStyle w:val="any"/>
          <w:rFonts w:ascii="Times New Roman" w:eastAsia="Times New Roman" w:hAnsi="Times New Roman" w:cs="Times New Roman"/>
          <w:spacing w:val="8"/>
        </w:rPr>
        <w:t>[15b 225]</w:t>
      </w:r>
      <w:r>
        <w:rPr>
          <w:rStyle w:val="any"/>
          <w:rFonts w:ascii="PMingLiU" w:eastAsia="PMingLiU" w:hAnsi="PMingLiU" w:cs="PMingLiU"/>
          <w:spacing w:val="8"/>
        </w:rPr>
        <w:t>；湖南省卫生和计划生育委员会科研基金</w:t>
      </w:r>
      <w:r>
        <w:rPr>
          <w:rStyle w:val="any"/>
          <w:rFonts w:ascii="Times New Roman" w:eastAsia="Times New Roman" w:hAnsi="Times New Roman" w:cs="Times New Roman"/>
          <w:spacing w:val="8"/>
        </w:rPr>
        <w:t>[C2017014]</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Yi Xie</w:t>
      </w:r>
      <w:r>
        <w:rPr>
          <w:rStyle w:val="any"/>
          <w:rFonts w:ascii="PMingLiU" w:eastAsia="PMingLiU" w:hAnsi="PMingLiU" w:cs="PMingLiU"/>
          <w:spacing w:val="8"/>
        </w:rPr>
        <w:t>（音译：谢</w:t>
      </w:r>
      <w:r>
        <w:rPr>
          <w:rStyle w:val="any"/>
          <w:rFonts w:ascii="PMingLiU" w:eastAsia="PMingLiU" w:hAnsi="PMingLiU" w:cs="PMingLiU"/>
          <w:spacing w:val="8"/>
        </w:rPr>
        <w:t>逸），疑为</w:t>
      </w:r>
      <w:r>
        <w:rPr>
          <w:rStyle w:val="any"/>
          <w:rFonts w:ascii="PMingLiU" w:eastAsia="PMingLiU" w:hAnsi="PMingLiU" w:cs="PMingLiU"/>
          <w:spacing w:val="8"/>
        </w:rPr>
        <w:t>深圳市第三人民医院主治医师，深圳市医学会甲状腺乳腺外科专业委员会青年委员，从事乳腺及甲状腺外科工作多年，擅长乳腺甲状腺相关良恶性疾病的诊治。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https://pubpeer.com/publications/9072E94723307074E3466732468091#0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https://www.dovepress.com/anticancer-activity-of-1-25-oh2d3-against-human-breast-cancer-cell-lin-peer-reviewed-fulltext-article-OTT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5056&amp;idx=3&amp;sn=d6f70afa3ea00349d05f89e7ea3bdb4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