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数据图像眼花缭乱！扬州市名中医、扬州大学医学院二级教授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Yanqing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（刘延庆）团队论文被撤稿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2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 inhibits lipopolysaccharide-stimulated rheumatoid fibroblast-like synoviocyte invasion through suppression of TLR4/NF-κB-mediated matrix metalloproteinase-9 expression</w:t>
      </w:r>
      <w:r>
        <w:rPr>
          <w:rStyle w:val="any"/>
          <w:rFonts w:ascii="PMingLiU" w:eastAsia="PMingLiU" w:hAnsi="PMingLiU" w:cs="PMingLiU"/>
          <w:spacing w:val="8"/>
        </w:rPr>
        <w:t>（雷公藤红素通过抑制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 / NF-κB</w:t>
      </w:r>
      <w:r>
        <w:rPr>
          <w:rStyle w:val="any"/>
          <w:rFonts w:ascii="PMingLiU" w:eastAsia="PMingLiU" w:hAnsi="PMingLiU" w:cs="PMingLiU"/>
          <w:spacing w:val="8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8"/>
        </w:rPr>
        <w:t>-9</w:t>
      </w:r>
      <w:r>
        <w:rPr>
          <w:rStyle w:val="any"/>
          <w:rFonts w:ascii="PMingLiU" w:eastAsia="PMingLiU" w:hAnsi="PMingLiU" w:cs="PMingLiU"/>
          <w:spacing w:val="8"/>
        </w:rPr>
        <w:t>的表达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抑制脂多糖刺激的类风湿成纤维细胞样滑膜细胞侵袭）的论文在《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10.1371/journal.pone.0068905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XX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年就对该论文提出多处质疑，认为图像有重复。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7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36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37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535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3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6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1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9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45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7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2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3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84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29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0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91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日该论文终被撤回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183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90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成纤维细胞样的滑膜细胞（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）的侵袭对于类风湿关节炎（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）的发病机理至关重要。金属蛋白酶（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）和类似受体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TLR4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核因子</w:t>
      </w:r>
      <w:r>
        <w:rPr>
          <w:rStyle w:val="any"/>
          <w:rFonts w:ascii="Times New Roman" w:eastAsia="Times New Roman" w:hAnsi="Times New Roman" w:cs="Times New Roman"/>
          <w:spacing w:val="8"/>
        </w:rPr>
        <w:t>-KB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NF-KB</w:t>
      </w:r>
      <w:r>
        <w:rPr>
          <w:rStyle w:val="any"/>
          <w:rFonts w:ascii="PMingLiU" w:eastAsia="PMingLiU" w:hAnsi="PMingLiU" w:cs="PMingLiU"/>
          <w:spacing w:val="8"/>
        </w:rPr>
        <w:t>）途径的活化剂在由脂多糖（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）引起的</w:t>
      </w:r>
      <w:r>
        <w:rPr>
          <w:rStyle w:val="any"/>
          <w:rFonts w:ascii="Times New Roman" w:eastAsia="Times New Roman" w:hAnsi="Times New Roman" w:cs="Times New Roman"/>
          <w:spacing w:val="8"/>
        </w:rPr>
        <w:t>RA-FLS</w:t>
      </w:r>
      <w:r>
        <w:rPr>
          <w:rStyle w:val="any"/>
          <w:rFonts w:ascii="PMingLiU" w:eastAsia="PMingLiU" w:hAnsi="PMingLiU" w:cs="PMingLiU"/>
          <w:spacing w:val="8"/>
        </w:rPr>
        <w:t>侵袭中起关键作用。本研究旨在探索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刺激的人</w:t>
      </w:r>
      <w:r>
        <w:rPr>
          <w:rStyle w:val="any"/>
          <w:rFonts w:ascii="Times New Roman" w:eastAsia="Times New Roman" w:hAnsi="Times New Roman" w:cs="Times New Roman"/>
          <w:spacing w:val="8"/>
        </w:rPr>
        <w:t>RA-FLSS</w:t>
      </w:r>
      <w:r>
        <w:rPr>
          <w:rStyle w:val="any"/>
          <w:rFonts w:ascii="PMingLiU" w:eastAsia="PMingLiU" w:hAnsi="PMingLiU" w:cs="PMingLiU"/>
          <w:spacing w:val="8"/>
        </w:rPr>
        <w:t>的抗侵入性活性，并阐明所涉及的机制。我们研究了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迁移和侵袭以及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表达的影响，并探索了上游信号转导。结果表明，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的表达和活性来抑制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迁移和侵袭。此外，我们的结果表明，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MMP-KB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启动子中的结合活性来抑制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的转录活性，并抑制了</w:t>
      </w:r>
      <w:r>
        <w:rPr>
          <w:rStyle w:val="any"/>
          <w:rFonts w:ascii="Times New Roman" w:eastAsia="Times New Roman" w:hAnsi="Times New Roman" w:cs="Times New Roman"/>
          <w:spacing w:val="8"/>
        </w:rPr>
        <w:t>TLR4/MYD88/NF-KB</w:t>
      </w:r>
      <w:r>
        <w:rPr>
          <w:rStyle w:val="any"/>
          <w:rFonts w:ascii="PMingLiU" w:eastAsia="PMingLiU" w:hAnsi="PMingLiU" w:cs="PMingLiU"/>
          <w:spacing w:val="8"/>
        </w:rPr>
        <w:t>途径。每天在胶原蛋白诱导的关节炎大鼠模型中，每天服用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0.5 mg/kg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1 mg/kg</w:t>
      </w:r>
      <w:r>
        <w:rPr>
          <w:rStyle w:val="any"/>
          <w:rFonts w:ascii="PMingLiU" w:eastAsia="PMingLiU" w:hAnsi="PMingLiU" w:cs="PMingLiU"/>
          <w:spacing w:val="8"/>
        </w:rPr>
        <w:t>，腹膜内）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周，显著缓解了关节的临床征兆，滑膜增生和炎性细胞浸润。总之，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可以通过抑制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TLR4/NF-KB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表达来抑制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迁移和侵袭，从而为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临床治疗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提供了理论基础。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[81173603]</w:t>
      </w:r>
      <w:r>
        <w:rPr>
          <w:rStyle w:val="any"/>
          <w:rFonts w:ascii="PMingLiU" w:eastAsia="PMingLiU" w:hAnsi="PMingLiU" w:cs="PMingLiU"/>
          <w:spacing w:val="8"/>
        </w:rPr>
        <w:t>；江苏省研究生科研创新项目</w:t>
      </w:r>
      <w:r>
        <w:rPr>
          <w:rStyle w:val="any"/>
          <w:rFonts w:ascii="Times New Roman" w:eastAsia="Times New Roman" w:hAnsi="Times New Roman" w:cs="Times New Roman"/>
          <w:spacing w:val="8"/>
        </w:rPr>
        <w:t>[CXZZ11-0998]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Yanqing Liu</w:t>
      </w:r>
      <w:r>
        <w:rPr>
          <w:rStyle w:val="any"/>
          <w:rFonts w:ascii="PMingLiU" w:eastAsia="PMingLiU" w:hAnsi="PMingLiU" w:cs="PMingLiU"/>
          <w:spacing w:val="8"/>
        </w:rPr>
        <w:t>（刘延庆），现为</w:t>
      </w:r>
      <w:r>
        <w:rPr>
          <w:rStyle w:val="any"/>
          <w:rFonts w:ascii="PMingLiU" w:eastAsia="PMingLiU" w:hAnsi="PMingLiU" w:cs="PMingLiU"/>
          <w:spacing w:val="8"/>
        </w:rPr>
        <w:t>扬州大学医学院二级教授，</w:t>
      </w:r>
      <w:r>
        <w:rPr>
          <w:rStyle w:val="any"/>
          <w:rFonts w:ascii="PMingLiU" w:eastAsia="PMingLiU" w:hAnsi="PMingLiU" w:cs="PMingLiU"/>
          <w:spacing w:val="8"/>
        </w:rPr>
        <w:t>医学博士，主任中医师，中西医结合硕士、博士研究生导师，第六批全国名老中医经验传承指导老师，扬州市名中医。曾两次赴日本留学，是日本昭和大学客座教授。国家中医药管理局重点研究室（肿瘤）主任，中华中医药学会肿瘤分会荣誉副会长，江苏省中医肿瘤专业委员会荣誉主任委员，江苏省药理学会副理事长，世界中医联合会癌症姑息治疗专业委员会副主任委员，世界中医联合会肿瘤精准治疗专业委员会副主任委员，扬州大学</w:t>
      </w:r>
      <w:r>
        <w:rPr>
          <w:rStyle w:val="any"/>
          <w:rFonts w:ascii="Times New Roman" w:eastAsia="Times New Roman" w:hAnsi="Times New Roman" w:cs="Times New Roman"/>
          <w:spacing w:val="8"/>
        </w:rPr>
        <w:t>--</w:t>
      </w:r>
      <w:r>
        <w:rPr>
          <w:rStyle w:val="any"/>
          <w:rFonts w:ascii="PMingLiU" w:eastAsia="PMingLiU" w:hAnsi="PMingLiU" w:cs="PMingLiU"/>
          <w:spacing w:val="8"/>
        </w:rPr>
        <w:t>扬州市肿瘤研究所所长。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https://pubpeer.com/publications/4866AB960FF4846BD6103CE16E339B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https://pmc.ncbi.nlm.nih.gov/articles/PMC3701694/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7&amp;sn=bcecee6016430dddef15304e24b6df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