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国家杰青、长江学者？中国药科大学教授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Ping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（音译：李萍）团队论文图像疑似重复，背后多项国基金支持！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22:40:54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798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Discovery of a potent allosteric activator of DGKQ that ameliorates obesity-induced insulin resistance via the sn-1,2-DAG-PKCε signaling axis</w:t>
      </w:r>
      <w:r>
        <w:rPr>
          <w:rStyle w:val="any"/>
          <w:rFonts w:ascii="PMingLiU" w:eastAsia="PMingLiU" w:hAnsi="PMingLiU" w:cs="PMingLiU"/>
          <w:spacing w:val="8"/>
        </w:rPr>
        <w:t>（发现</w:t>
      </w:r>
      <w:r>
        <w:rPr>
          <w:rStyle w:val="any"/>
          <w:rFonts w:ascii="Times New Roman" w:eastAsia="Times New Roman" w:hAnsi="Times New Roman" w:cs="Times New Roman"/>
          <w:spacing w:val="8"/>
        </w:rPr>
        <w:t>DGKQ</w:t>
      </w:r>
      <w:r>
        <w:rPr>
          <w:rStyle w:val="any"/>
          <w:rFonts w:ascii="PMingLiU" w:eastAsia="PMingLiU" w:hAnsi="PMingLiU" w:cs="PMingLiU"/>
          <w:spacing w:val="8"/>
        </w:rPr>
        <w:t>的强效变构激活剂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spacing w:val="8"/>
        </w:rPr>
        <w:t>sn - 1,2 - DAG - PKC ε</w:t>
      </w:r>
      <w:r>
        <w:rPr>
          <w:rStyle w:val="any"/>
          <w:rFonts w:ascii="PMingLiU" w:eastAsia="PMingLiU" w:hAnsi="PMingLiU" w:cs="PMingLiU"/>
          <w:spacing w:val="8"/>
        </w:rPr>
        <w:t>信号轴改善肥胖诱导的胰岛素抵抗）的论文在《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Cell metabolism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10.1016/J.CMET.2022.11.012</w:t>
      </w:r>
      <w:r>
        <w:rPr>
          <w:rStyle w:val="any"/>
          <w:rFonts w:ascii="PMingLiU" w:eastAsia="PMingLiU" w:hAnsi="PMingLiU" w:cs="PMingLiU"/>
          <w:spacing w:val="8"/>
        </w:rPr>
        <w:t>。大筛查发现，疑似有图像重复。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部分实验图像存在以下重复现象：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S1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存在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处明显重复。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S7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一组图重复使用了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次。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45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476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1676224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6331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67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Times New Roman" w:eastAsia="Times New Roman" w:hAnsi="Times New Roman" w:cs="Times New Roman"/>
          <w:spacing w:val="8"/>
        </w:rPr>
        <w:t>SN-1,2-</w:t>
      </w:r>
      <w:r>
        <w:rPr>
          <w:rStyle w:val="any"/>
          <w:rFonts w:ascii="PMingLiU" w:eastAsia="PMingLiU" w:hAnsi="PMingLiU" w:cs="PMingLiU"/>
          <w:spacing w:val="8"/>
        </w:rPr>
        <w:t>二酰基甘油（</w:t>
      </w:r>
      <w:r>
        <w:rPr>
          <w:rStyle w:val="any"/>
          <w:rFonts w:ascii="Times New Roman" w:eastAsia="Times New Roman" w:hAnsi="Times New Roman" w:cs="Times New Roman"/>
          <w:spacing w:val="8"/>
        </w:rPr>
        <w:t>SN-1,2-DAG</w:t>
      </w:r>
      <w:r>
        <w:rPr>
          <w:rStyle w:val="any"/>
          <w:rFonts w:ascii="PMingLiU" w:eastAsia="PMingLiU" w:hAnsi="PMingLiU" w:cs="PMingLiU"/>
          <w:spacing w:val="8"/>
        </w:rPr>
        <w:t>）介导的蛋白激酶</w:t>
      </w:r>
      <w:r>
        <w:rPr>
          <w:rStyle w:val="any"/>
          <w:rFonts w:ascii="Times New Roman" w:eastAsia="Times New Roman" w:hAnsi="Times New Roman" w:cs="Times New Roman"/>
          <w:spacing w:val="8"/>
        </w:rPr>
        <w:t>C</w:t>
      </w:r>
      <w:r>
        <w:rPr>
          <w:rStyle w:val="any"/>
          <w:rFonts w:ascii="PMingLiU" w:eastAsia="PMingLiU" w:hAnsi="PMingLiU" w:cs="PMingLiU"/>
          <w:spacing w:val="8"/>
        </w:rPr>
        <w:t>＆</w:t>
      </w:r>
      <w:r>
        <w:rPr>
          <w:rStyle w:val="any"/>
          <w:rFonts w:ascii="Times New Roman" w:eastAsia="Times New Roman" w:hAnsi="Times New Roman" w:cs="Times New Roman"/>
          <w:spacing w:val="8"/>
        </w:rPr>
        <w:t>Epsilon</w:t>
      </w:r>
      <w:r>
        <w:rPr>
          <w:rStyle w:val="any"/>
          <w:rFonts w:ascii="PMingLiU" w:eastAsia="PMingLiU" w:hAnsi="PMingLiU" w:cs="PMingLiU"/>
          <w:spacing w:val="8"/>
        </w:rPr>
        <w:t>的激活</w:t>
      </w:r>
      <w:r>
        <w:rPr>
          <w:rStyle w:val="any"/>
          <w:rFonts w:ascii="Times New Roman" w:eastAsia="Times New Roman" w:hAnsi="Times New Roman" w:cs="Times New Roman"/>
          <w:spacing w:val="8"/>
        </w:rPr>
        <w:t>;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PKC</w:t>
      </w:r>
      <w:r>
        <w:rPr>
          <w:rStyle w:val="any"/>
          <w:rFonts w:ascii="PMingLiU" w:eastAsia="PMingLiU" w:hAnsi="PMingLiU" w:cs="PMingLiU"/>
          <w:spacing w:val="8"/>
        </w:rPr>
        <w:t>＆</w:t>
      </w:r>
      <w:r>
        <w:rPr>
          <w:rStyle w:val="any"/>
          <w:rFonts w:ascii="Times New Roman" w:eastAsia="Times New Roman" w:hAnsi="Times New Roman" w:cs="Times New Roman"/>
          <w:spacing w:val="8"/>
        </w:rPr>
        <w:t>Epsilon;</w:t>
      </w:r>
      <w:r>
        <w:rPr>
          <w:rStyle w:val="any"/>
          <w:rFonts w:ascii="PMingLiU" w:eastAsia="PMingLiU" w:hAnsi="PMingLiU" w:cs="PMingLiU"/>
          <w:spacing w:val="8"/>
        </w:rPr>
        <w:t>）是一种关键途径，是导致与肥胖相关的脂质代谢疾病的负责，从而诱导肝胰岛素抵抗和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型糖尿病。以前没有据报道，没有小分子通过该途径改善这些疾病。在这里，我们筛选并鉴定了植物化学丙烯烯酸</w:t>
      </w:r>
      <w:r>
        <w:rPr>
          <w:rStyle w:val="any"/>
          <w:rFonts w:ascii="Times New Roman" w:eastAsia="Times New Roman" w:hAnsi="Times New Roman" w:cs="Times New Roman"/>
          <w:spacing w:val="8"/>
        </w:rPr>
        <w:t>II</w:t>
      </w:r>
      <w:r>
        <w:rPr>
          <w:rStyle w:val="any"/>
          <w:rFonts w:ascii="PMingLiU" w:eastAsia="PMingLiU" w:hAnsi="PMingLiU" w:cs="PMingLiU"/>
          <w:spacing w:val="8"/>
        </w:rPr>
        <w:t>（在</w:t>
      </w:r>
      <w:r>
        <w:rPr>
          <w:rStyle w:val="any"/>
          <w:rFonts w:ascii="Times New Roman" w:eastAsia="Times New Roman" w:hAnsi="Times New Roman" w:cs="Times New Roman"/>
          <w:spacing w:val="8"/>
        </w:rPr>
        <w:t>II</w:t>
      </w:r>
      <w:r>
        <w:rPr>
          <w:rStyle w:val="any"/>
          <w:rFonts w:ascii="PMingLiU" w:eastAsia="PMingLiU" w:hAnsi="PMingLiU" w:cs="PMingLiU"/>
          <w:spacing w:val="8"/>
        </w:rPr>
        <w:t>），从而降低了</w:t>
      </w:r>
      <w:r>
        <w:rPr>
          <w:rStyle w:val="any"/>
          <w:rFonts w:ascii="Times New Roman" w:eastAsia="Times New Roman" w:hAnsi="Times New Roman" w:cs="Times New Roman"/>
          <w:spacing w:val="8"/>
        </w:rPr>
        <w:t>HEPAT-IC SN-1,2-DAG</w:t>
      </w:r>
      <w:r>
        <w:rPr>
          <w:rStyle w:val="any"/>
          <w:rFonts w:ascii="PMingLiU" w:eastAsia="PMingLiU" w:hAnsi="PMingLiU" w:cs="PMingLiU"/>
          <w:spacing w:val="8"/>
        </w:rPr>
        <w:t>水平，停用了</w:t>
      </w:r>
      <w:r>
        <w:rPr>
          <w:rStyle w:val="any"/>
          <w:rFonts w:ascii="Times New Roman" w:eastAsia="Times New Roman" w:hAnsi="Times New Roman" w:cs="Times New Roman"/>
          <w:spacing w:val="8"/>
        </w:rPr>
        <w:t>PKC</w:t>
      </w:r>
      <w:r>
        <w:rPr>
          <w:rStyle w:val="any"/>
          <w:rFonts w:ascii="PMingLiU" w:eastAsia="PMingLiU" w:hAnsi="PMingLiU" w:cs="PMingLiU"/>
          <w:spacing w:val="8"/>
        </w:rPr>
        <w:t>＆</w:t>
      </w:r>
      <w:r>
        <w:rPr>
          <w:rStyle w:val="any"/>
          <w:rFonts w:ascii="Times New Roman" w:eastAsia="Times New Roman" w:hAnsi="Times New Roman" w:cs="Times New Roman"/>
          <w:spacing w:val="8"/>
        </w:rPr>
        <w:t>Epsilon</w:t>
      </w:r>
      <w:r>
        <w:rPr>
          <w:rStyle w:val="any"/>
          <w:rFonts w:ascii="PMingLiU" w:eastAsia="PMingLiU" w:hAnsi="PMingLiU" w:cs="PMingLiU"/>
          <w:spacing w:val="8"/>
        </w:rPr>
        <w:t>；活性，并改善肥胖性高光诱导的高脂血症，肝素治疗，肝素病和胰岛素抵抗。此外，使用</w:t>
      </w:r>
      <w:r>
        <w:rPr>
          <w:rStyle w:val="any"/>
          <w:rFonts w:ascii="Times New Roman" w:eastAsia="Times New Roman" w:hAnsi="Times New Roman" w:cs="Times New Roman"/>
          <w:spacing w:val="8"/>
        </w:rPr>
        <w:t>ABPP</w:t>
      </w:r>
      <w:r>
        <w:rPr>
          <w:rStyle w:val="any"/>
          <w:rFonts w:ascii="PMingLiU" w:eastAsia="PMingLiU" w:hAnsi="PMingLiU" w:cs="PMingLiU"/>
          <w:spacing w:val="8"/>
        </w:rPr>
        <w:t>策略，将二酰基甘油激酶家族成员</w:t>
      </w:r>
      <w:r>
        <w:rPr>
          <w:rStyle w:val="any"/>
          <w:rFonts w:ascii="Times New Roman" w:eastAsia="Times New Roman" w:hAnsi="Times New Roman" w:cs="Times New Roman"/>
          <w:spacing w:val="8"/>
        </w:rPr>
        <w:t>DGKQ</w:t>
      </w:r>
      <w:r>
        <w:rPr>
          <w:rStyle w:val="any"/>
          <w:rFonts w:ascii="PMingLiU" w:eastAsia="PMingLiU" w:hAnsi="PMingLiU" w:cs="PMingLiU"/>
          <w:spacing w:val="8"/>
        </w:rPr>
        <w:t>鉴定为</w:t>
      </w:r>
      <w:r>
        <w:rPr>
          <w:rStyle w:val="any"/>
          <w:rFonts w:ascii="Times New Roman" w:eastAsia="Times New Roman" w:hAnsi="Times New Roman" w:cs="Times New Roman"/>
          <w:spacing w:val="8"/>
        </w:rPr>
        <w:t>AT II</w:t>
      </w:r>
      <w:r>
        <w:rPr>
          <w:rStyle w:val="any"/>
          <w:rFonts w:ascii="PMingLiU" w:eastAsia="PMingLiU" w:hAnsi="PMingLiU" w:cs="PMingLiU"/>
          <w:spacing w:val="8"/>
        </w:rPr>
        <w:t>的直接靶标。</w:t>
      </w:r>
      <w:r>
        <w:rPr>
          <w:rStyle w:val="any"/>
          <w:rFonts w:ascii="Times New Roman" w:eastAsia="Times New Roman" w:hAnsi="Times New Roman" w:cs="Times New Roman"/>
          <w:spacing w:val="8"/>
        </w:rPr>
        <w:t>AT II</w:t>
      </w:r>
      <w:r>
        <w:rPr>
          <w:rStyle w:val="any"/>
          <w:rFonts w:ascii="PMingLiU" w:eastAsia="PMingLiU" w:hAnsi="PMingLiU" w:cs="PMingLiU"/>
          <w:spacing w:val="8"/>
        </w:rPr>
        <w:t>可以作用于</w:t>
      </w:r>
      <w:r>
        <w:rPr>
          <w:rStyle w:val="any"/>
          <w:rFonts w:ascii="Times New Roman" w:eastAsia="Times New Roman" w:hAnsi="Times New Roman" w:cs="Times New Roman"/>
          <w:spacing w:val="8"/>
        </w:rPr>
        <w:t>DGKQ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CRD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pH</w:t>
      </w:r>
      <w:r>
        <w:rPr>
          <w:rStyle w:val="any"/>
          <w:rFonts w:ascii="PMingLiU" w:eastAsia="PMingLiU" w:hAnsi="PMingLiU" w:cs="PMingLiU"/>
          <w:spacing w:val="8"/>
        </w:rPr>
        <w:t>结构域中的新型药物结合口袋，从而对其激酶活性进行变构调节。此外，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AT II</w:t>
      </w:r>
      <w:r>
        <w:rPr>
          <w:rStyle w:val="any"/>
          <w:rFonts w:ascii="PMingLiU" w:eastAsia="PMingLiU" w:hAnsi="PMingLiU" w:cs="PMingLiU"/>
          <w:spacing w:val="8"/>
        </w:rPr>
        <w:t>还通过激活脂肪组织中的</w:t>
      </w:r>
      <w:r>
        <w:rPr>
          <w:rStyle w:val="any"/>
          <w:rFonts w:ascii="Times New Roman" w:eastAsia="Times New Roman" w:hAnsi="Times New Roman" w:cs="Times New Roman"/>
          <w:spacing w:val="8"/>
        </w:rPr>
        <w:t>DGKQ-AMPK-PGC1A-UCP-1</w:t>
      </w:r>
      <w:r>
        <w:rPr>
          <w:rStyle w:val="any"/>
          <w:rFonts w:ascii="PMingLiU" w:eastAsia="PMingLiU" w:hAnsi="PMingLiU" w:cs="PMingLiU"/>
          <w:spacing w:val="8"/>
        </w:rPr>
        <w:t>信号来增加体重减轻。这些发现表明，在</w:t>
      </w:r>
      <w:r>
        <w:rPr>
          <w:rStyle w:val="any"/>
          <w:rFonts w:ascii="Times New Roman" w:eastAsia="Times New Roman" w:hAnsi="Times New Roman" w:cs="Times New Roman"/>
          <w:spacing w:val="8"/>
        </w:rPr>
        <w:t>II</w:t>
      </w:r>
      <w:r>
        <w:rPr>
          <w:rStyle w:val="any"/>
          <w:rFonts w:ascii="PMingLiU" w:eastAsia="PMingLiU" w:hAnsi="PMingLiU" w:cs="PMingLiU"/>
          <w:spacing w:val="8"/>
        </w:rPr>
        <w:t>是提高肥胖引起的胰岛素抵抗的有希望的铅化合物。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4865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4706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[82130114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81903871]</w:t>
      </w:r>
      <w:r>
        <w:rPr>
          <w:rStyle w:val="any"/>
          <w:rFonts w:ascii="PMingLiU" w:eastAsia="PMingLiU" w:hAnsi="PMingLiU" w:cs="PMingLiU"/>
          <w:spacing w:val="8"/>
        </w:rPr>
        <w:t>；江苏省自然科学基金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[bk 20190565]</w:t>
      </w:r>
      <w:r>
        <w:rPr>
          <w:rStyle w:val="any"/>
          <w:rFonts w:ascii="PMingLiU" w:eastAsia="PMingLiU" w:hAnsi="PMingLiU" w:cs="PMingLiU"/>
          <w:spacing w:val="8"/>
        </w:rPr>
        <w:t>；中央高校基础研究基金</w:t>
      </w:r>
      <w:r>
        <w:rPr>
          <w:rStyle w:val="any"/>
          <w:rFonts w:ascii="Times New Roman" w:eastAsia="Times New Roman" w:hAnsi="Times New Roman" w:cs="Times New Roman"/>
          <w:spacing w:val="8"/>
        </w:rPr>
        <w:t>[2632021 ZD 16]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双一流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大学工程</w:t>
      </w:r>
      <w:r>
        <w:rPr>
          <w:rStyle w:val="any"/>
          <w:rFonts w:ascii="Times New Roman" w:eastAsia="Times New Roman" w:hAnsi="Times New Roman" w:cs="Times New Roman"/>
          <w:spacing w:val="8"/>
        </w:rPr>
        <w:t>[CPU2022QZ07]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Ping Li</w:t>
      </w:r>
      <w:r>
        <w:rPr>
          <w:rStyle w:val="any"/>
          <w:rFonts w:ascii="PMingLiU" w:eastAsia="PMingLiU" w:hAnsi="PMingLiU" w:cs="PMingLiU"/>
          <w:spacing w:val="8"/>
        </w:rPr>
        <w:t>（音译：李萍），疑为</w:t>
      </w:r>
      <w:r>
        <w:rPr>
          <w:rStyle w:val="any"/>
          <w:rFonts w:ascii="PMingLiU" w:eastAsia="PMingLiU" w:hAnsi="PMingLiU" w:cs="PMingLiU"/>
          <w:spacing w:val="8"/>
        </w:rPr>
        <w:t>中国药科大学教授，</w:t>
      </w:r>
      <w:r>
        <w:rPr>
          <w:rStyle w:val="any"/>
          <w:rFonts w:ascii="PMingLiU" w:eastAsia="PMingLiU" w:hAnsi="PMingLiU" w:cs="PMingLiU"/>
          <w:spacing w:val="8"/>
        </w:rPr>
        <w:t>天然药物活性组分与药效国家重点实验室主任，江苏省教学名师，现任教育部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长江学者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特聘教授、国家自然科学基金委创新研究群体学术带头人、教育部创新团队带头人、国家杰出青年基金获得者、江苏省第四期</w:t>
      </w:r>
      <w:r>
        <w:rPr>
          <w:rStyle w:val="any"/>
          <w:rFonts w:ascii="Times New Roman" w:eastAsia="Times New Roman" w:hAnsi="Times New Roman" w:cs="Times New Roman"/>
          <w:spacing w:val="8"/>
        </w:rPr>
        <w:t>“333</w:t>
      </w:r>
      <w:r>
        <w:rPr>
          <w:rStyle w:val="any"/>
          <w:rFonts w:ascii="PMingLiU" w:eastAsia="PMingLiU" w:hAnsi="PMingLiU" w:cs="PMingLiU"/>
          <w:spacing w:val="8"/>
        </w:rPr>
        <w:t>高层次人才培养工程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第一层次培养对象人选、《生药学》国家重点学科首席学科带头人、全国优秀科技工作者、全国优秀博士学位论文指导教师。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 </w:t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https://pubmed.ncbi.nlm.nih.gov/36525963/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630&amp;idx=1&amp;sn=040404ee57640cfb67bae49452db8e2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