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论文工厂？上海市第六人民医院党委副书记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Lihong Fan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（音译：范理宏）论文被质疑，背后有国自然基金支持！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21:42:00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626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6770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FOXD1 Promotes Cell Growth and Metastasis by Activation of Vimentin in NSCLC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Nsclc</w:t>
      </w:r>
      <w:r>
        <w:rPr>
          <w:rStyle w:val="any"/>
          <w:rFonts w:ascii="PMingLiU" w:eastAsia="PMingLiU" w:hAnsi="PMingLiU" w:cs="PMingLiU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通过激活</w:t>
      </w:r>
      <w:r>
        <w:rPr>
          <w:rStyle w:val="any"/>
          <w:rFonts w:ascii="Times New Roman" w:eastAsia="Times New Roman" w:hAnsi="Times New Roman" w:cs="Times New Roman"/>
          <w:spacing w:val="8"/>
        </w:rPr>
        <w:t>Vimentin</w:t>
      </w:r>
      <w:r>
        <w:rPr>
          <w:rStyle w:val="any"/>
          <w:rFonts w:ascii="PMingLiU" w:eastAsia="PMingLiU" w:hAnsi="PMingLiU" w:cs="PMingLiU"/>
          <w:spacing w:val="8"/>
        </w:rPr>
        <w:t>促进细胞生长和转移）的论文在《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Cellular Physiology and Biochemistry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10.1159/000495962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Tenthredo zona</w:t>
      </w:r>
      <w:r>
        <w:rPr>
          <w:rStyle w:val="any"/>
          <w:rFonts w:ascii="PMingLiU" w:eastAsia="PMingLiU" w:hAnsi="PMingLiU" w:cs="PMingLiU"/>
          <w:spacing w:val="8"/>
        </w:rPr>
        <w:t>对该论文提出质疑，认为与其它论文有图像重复。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063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892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22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205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098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4966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本论文研究内容为：</w:t>
      </w:r>
      <w:r>
        <w:rPr>
          <w:rStyle w:val="any"/>
          <w:rFonts w:ascii="PMingLiU" w:eastAsia="PMingLiU" w:hAnsi="PMingLiU" w:cs="PMingLiU"/>
          <w:spacing w:val="8"/>
        </w:rPr>
        <w:t>叉子盒</w:t>
      </w:r>
      <w:r>
        <w:rPr>
          <w:rStyle w:val="any"/>
          <w:rFonts w:ascii="Times New Roman" w:eastAsia="Times New Roman" w:hAnsi="Times New Roman" w:cs="Times New Roman"/>
          <w:spacing w:val="8"/>
        </w:rPr>
        <w:t>D1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）在早期胚胎发育和器官发生，以及在几种癌症中起癌基因的作用。然而，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在非小细胞肺癌（</w:t>
      </w:r>
      <w:r>
        <w:rPr>
          <w:rStyle w:val="any"/>
          <w:rFonts w:ascii="Times New Roman" w:eastAsia="Times New Roman" w:hAnsi="Times New Roman" w:cs="Times New Roman"/>
          <w:spacing w:val="8"/>
        </w:rPr>
        <w:t>NSCLC</w:t>
      </w:r>
      <w:r>
        <w:rPr>
          <w:rStyle w:val="any"/>
          <w:rFonts w:ascii="PMingLiU" w:eastAsia="PMingLiU" w:hAnsi="PMingLiU" w:cs="PMingLiU"/>
          <w:spacing w:val="8"/>
        </w:rPr>
        <w:t>）中的临床意义和生物学作用仍然很大未知。方法：总共收集了</w:t>
      </w:r>
      <w:r>
        <w:rPr>
          <w:rStyle w:val="any"/>
          <w:rFonts w:ascii="Times New Roman" w:eastAsia="Times New Roman" w:hAnsi="Times New Roman" w:cs="Times New Roman"/>
          <w:spacing w:val="8"/>
        </w:rPr>
        <w:t>264</w:t>
      </w:r>
      <w:r>
        <w:rPr>
          <w:rStyle w:val="any"/>
          <w:rFonts w:ascii="PMingLiU" w:eastAsia="PMingLiU" w:hAnsi="PMingLiU" w:cs="PMingLiU"/>
          <w:spacing w:val="8"/>
        </w:rPr>
        <w:t>个原发性</w:t>
      </w:r>
      <w:r>
        <w:rPr>
          <w:rStyle w:val="any"/>
          <w:rFonts w:ascii="Times New Roman" w:eastAsia="Times New Roman" w:hAnsi="Times New Roman" w:cs="Times New Roman"/>
          <w:spacing w:val="8"/>
        </w:rPr>
        <w:t>NSCLC</w:t>
      </w:r>
      <w:r>
        <w:rPr>
          <w:rStyle w:val="any"/>
          <w:rFonts w:ascii="PMingLiU" w:eastAsia="PMingLiU" w:hAnsi="PMingLiU" w:cs="PMingLiU"/>
          <w:spacing w:val="8"/>
        </w:rPr>
        <w:t>组织样品。通过免疫组织化学染色检查了这些样品中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的表达水平。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的表达被慢病毒</w:t>
      </w:r>
      <w:r>
        <w:rPr>
          <w:rStyle w:val="any"/>
          <w:rFonts w:ascii="Times New Roman" w:eastAsia="Times New Roman" w:hAnsi="Times New Roman" w:cs="Times New Roman"/>
          <w:spacing w:val="8"/>
        </w:rPr>
        <w:t>shRNA</w:t>
      </w:r>
      <w:r>
        <w:rPr>
          <w:rStyle w:val="any"/>
          <w:rFonts w:ascii="PMingLiU" w:eastAsia="PMingLiU" w:hAnsi="PMingLiU" w:cs="PMingLiU"/>
          <w:spacing w:val="8"/>
        </w:rPr>
        <w:t>击倒。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的相对表达通过</w:t>
      </w:r>
      <w:r>
        <w:rPr>
          <w:rStyle w:val="any"/>
          <w:rFonts w:ascii="Times New Roman" w:eastAsia="Times New Roman" w:hAnsi="Times New Roman" w:cs="Times New Roman"/>
          <w:spacing w:val="8"/>
        </w:rPr>
        <w:t>QRT-PCR</w:t>
      </w:r>
      <w:r>
        <w:rPr>
          <w:rStyle w:val="any"/>
          <w:rFonts w:ascii="PMingLiU" w:eastAsia="PMingLiU" w:hAnsi="PMingLiU" w:cs="PMingLiU"/>
          <w:spacing w:val="8"/>
        </w:rPr>
        <w:t>，蛋白质印迹和免疫荧光图像确定。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NSCLC</w:t>
      </w:r>
      <w:r>
        <w:rPr>
          <w:rStyle w:val="any"/>
          <w:rFonts w:ascii="PMingLiU" w:eastAsia="PMingLiU" w:hAnsi="PMingLiU" w:cs="PMingLiU"/>
          <w:spacing w:val="8"/>
        </w:rPr>
        <w:t>中的功能作用证明了细胞活力</w:t>
      </w:r>
      <w:r>
        <w:rPr>
          <w:rStyle w:val="any"/>
          <w:rFonts w:ascii="Times New Roman" w:eastAsia="Times New Roman" w:hAnsi="Times New Roman" w:cs="Times New Roman"/>
          <w:spacing w:val="8"/>
        </w:rPr>
        <w:t>CCK-8</w:t>
      </w:r>
      <w:r>
        <w:rPr>
          <w:rStyle w:val="any"/>
          <w:rFonts w:ascii="PMingLiU" w:eastAsia="PMingLiU" w:hAnsi="PMingLiU" w:cs="PMingLiU"/>
          <w:spacing w:val="8"/>
        </w:rPr>
        <w:t>测定，菌落形成，细胞侵袭和迁移分析以及体外细胞凋亡测定法。体内小鼠异种移植物和转移模型用于评估肿瘤性和转移能力。卡方检验用于评估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表达与临床病理学特征之间的相关性。通过</w:t>
      </w:r>
      <w:r>
        <w:rPr>
          <w:rStyle w:val="any"/>
          <w:rFonts w:ascii="Times New Roman" w:eastAsia="Times New Roman" w:hAnsi="Times New Roman" w:cs="Times New Roman"/>
          <w:spacing w:val="8"/>
        </w:rPr>
        <w:t>Kaplan-Meier</w:t>
      </w:r>
      <w:r>
        <w:rPr>
          <w:rStyle w:val="any"/>
          <w:rFonts w:ascii="PMingLiU" w:eastAsia="PMingLiU" w:hAnsi="PMingLiU" w:cs="PMingLiU"/>
          <w:spacing w:val="8"/>
        </w:rPr>
        <w:t>方法估算生存曲线，并使用对数秩检验进行比较。</w:t>
      </w:r>
      <w:r>
        <w:rPr>
          <w:rStyle w:val="any"/>
          <w:rFonts w:ascii="Times New Roman" w:eastAsia="Times New Roman" w:hAnsi="Times New Roman" w:cs="Times New Roman"/>
          <w:spacing w:val="8"/>
        </w:rPr>
        <w:t>COX</w:t>
      </w:r>
      <w:r>
        <w:rPr>
          <w:rStyle w:val="any"/>
          <w:rFonts w:ascii="PMingLiU" w:eastAsia="PMingLiU" w:hAnsi="PMingLiU" w:cs="PMingLiU"/>
          <w:spacing w:val="8"/>
        </w:rPr>
        <w:t>比例危害模型用于单变量和多元分析。结果：我们确定</w:t>
      </w:r>
      <w:r>
        <w:rPr>
          <w:rStyle w:val="any"/>
          <w:rFonts w:ascii="Times New Roman" w:eastAsia="Times New Roman" w:hAnsi="Times New Roman" w:cs="Times New Roman"/>
          <w:spacing w:val="8"/>
        </w:rPr>
        <w:t>NSCLC</w:t>
      </w:r>
      <w:r>
        <w:rPr>
          <w:rStyle w:val="any"/>
          <w:rFonts w:ascii="PMingLiU" w:eastAsia="PMingLiU" w:hAnsi="PMingLiU" w:cs="PMingLiU"/>
          <w:spacing w:val="8"/>
        </w:rPr>
        <w:t>组织中存在较高水平的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，尤其是在转移性</w:t>
      </w:r>
      <w:r>
        <w:rPr>
          <w:rStyle w:val="any"/>
          <w:rFonts w:ascii="Times New Roman" w:eastAsia="Times New Roman" w:hAnsi="Times New Roman" w:cs="Times New Roman"/>
          <w:spacing w:val="8"/>
        </w:rPr>
        <w:t>NSCLC</w:t>
      </w:r>
      <w:r>
        <w:rPr>
          <w:rStyle w:val="any"/>
          <w:rFonts w:ascii="PMingLiU" w:eastAsia="PMingLiU" w:hAnsi="PMingLiU" w:cs="PMingLiU"/>
          <w:spacing w:val="8"/>
        </w:rPr>
        <w:t>组织中。与正常的人支气管上皮细胞相比，所有</w:t>
      </w:r>
      <w:r>
        <w:rPr>
          <w:rStyle w:val="any"/>
          <w:rFonts w:ascii="Times New Roman" w:eastAsia="Times New Roman" w:hAnsi="Times New Roman" w:cs="Times New Roman"/>
          <w:spacing w:val="8"/>
        </w:rPr>
        <w:t>NSCLC</w:t>
      </w:r>
      <w:r>
        <w:rPr>
          <w:rStyle w:val="any"/>
          <w:rFonts w:ascii="PMingLiU" w:eastAsia="PMingLiU" w:hAnsi="PMingLiU" w:cs="PMingLiU"/>
          <w:spacing w:val="8"/>
        </w:rPr>
        <w:t>细胞中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也均高。</w:t>
      </w:r>
      <w:r>
        <w:rPr>
          <w:rStyle w:val="any"/>
          <w:rFonts w:ascii="Times New Roman" w:eastAsia="Times New Roman" w:hAnsi="Times New Roman" w:cs="Times New Roman"/>
          <w:spacing w:val="8"/>
        </w:rPr>
        <w:t>NSCLC</w:t>
      </w:r>
      <w:r>
        <w:rPr>
          <w:rStyle w:val="any"/>
          <w:rFonts w:ascii="PMingLiU" w:eastAsia="PMingLiU" w:hAnsi="PMingLiU" w:cs="PMingLiU"/>
          <w:spacing w:val="8"/>
        </w:rPr>
        <w:t>患者的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表达水平较高与恶性行为和预后不良有关。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的敲低显著抑制了体外和肿瘤生长和体内转移的增殖，迁移和侵袭，并增加了</w:t>
      </w:r>
      <w:r>
        <w:rPr>
          <w:rStyle w:val="any"/>
          <w:rFonts w:ascii="Times New Roman" w:eastAsia="Times New Roman" w:hAnsi="Times New Roman" w:cs="Times New Roman"/>
          <w:spacing w:val="8"/>
        </w:rPr>
        <w:t>NSCLC</w:t>
      </w:r>
      <w:r>
        <w:rPr>
          <w:rStyle w:val="any"/>
          <w:rFonts w:ascii="PMingLiU" w:eastAsia="PMingLiU" w:hAnsi="PMingLiU" w:cs="PMingLiU"/>
          <w:spacing w:val="8"/>
        </w:rPr>
        <w:t>细胞的凋亡率。机械分析表明，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通过在</w:t>
      </w:r>
      <w:r>
        <w:rPr>
          <w:rStyle w:val="any"/>
          <w:rFonts w:ascii="Times New Roman" w:eastAsia="Times New Roman" w:hAnsi="Times New Roman" w:cs="Times New Roman"/>
          <w:spacing w:val="8"/>
        </w:rPr>
        <w:t>NSCLC</w:t>
      </w:r>
      <w:r>
        <w:rPr>
          <w:rStyle w:val="any"/>
          <w:rFonts w:ascii="PMingLiU" w:eastAsia="PMingLiU" w:hAnsi="PMingLiU" w:cs="PMingLiU"/>
          <w:spacing w:val="8"/>
        </w:rPr>
        <w:t>中激活波形蛋白来表达其致癌特性。多元</w:t>
      </w:r>
      <w:r>
        <w:rPr>
          <w:rStyle w:val="any"/>
          <w:rFonts w:ascii="Times New Roman" w:eastAsia="Times New Roman" w:hAnsi="Times New Roman" w:cs="Times New Roman"/>
          <w:spacing w:val="8"/>
        </w:rPr>
        <w:t>COX</w:t>
      </w:r>
      <w:r>
        <w:rPr>
          <w:rStyle w:val="any"/>
          <w:rFonts w:ascii="PMingLiU" w:eastAsia="PMingLiU" w:hAnsi="PMingLiU" w:cs="PMingLiU"/>
          <w:spacing w:val="8"/>
        </w:rPr>
        <w:t>回归分析表明，</w:t>
      </w:r>
      <w:r>
        <w:rPr>
          <w:rStyle w:val="any"/>
          <w:rFonts w:ascii="Times New Roman" w:eastAsia="Times New Roman" w:hAnsi="Times New Roman" w:cs="Times New Roman"/>
          <w:spacing w:val="8"/>
        </w:rPr>
        <w:t>NSCLC</w:t>
      </w:r>
      <w:r>
        <w:rPr>
          <w:rStyle w:val="any"/>
          <w:rFonts w:ascii="PMingLiU" w:eastAsia="PMingLiU" w:hAnsi="PMingLiU" w:cs="PMingLiU"/>
          <w:spacing w:val="8"/>
        </w:rPr>
        <w:t>患者中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是整体生存（</w:t>
      </w:r>
      <w:r>
        <w:rPr>
          <w:rStyle w:val="any"/>
          <w:rFonts w:ascii="Times New Roman" w:eastAsia="Times New Roman" w:hAnsi="Times New Roman" w:cs="Times New Roman"/>
          <w:spacing w:val="8"/>
        </w:rPr>
        <w:t>OS</w:t>
      </w:r>
      <w:r>
        <w:rPr>
          <w:rStyle w:val="any"/>
          <w:rFonts w:ascii="PMingLiU" w:eastAsia="PMingLiU" w:hAnsi="PMingLiU" w:cs="PMingLiU"/>
          <w:spacing w:val="8"/>
        </w:rPr>
        <w:t>）和无病生存（</w:t>
      </w:r>
      <w:r>
        <w:rPr>
          <w:rStyle w:val="any"/>
          <w:rFonts w:ascii="Times New Roman" w:eastAsia="Times New Roman" w:hAnsi="Times New Roman" w:cs="Times New Roman"/>
          <w:spacing w:val="8"/>
        </w:rPr>
        <w:t>DFS</w:t>
      </w:r>
      <w:r>
        <w:rPr>
          <w:rStyle w:val="any"/>
          <w:rFonts w:ascii="PMingLiU" w:eastAsia="PMingLiU" w:hAnsi="PMingLiU" w:cs="PMingLiU"/>
          <w:spacing w:val="8"/>
        </w:rPr>
        <w:t>）的独立预后因素。结论：我们的结果表明，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可能参与</w:t>
      </w:r>
      <w:r>
        <w:rPr>
          <w:rStyle w:val="any"/>
          <w:rFonts w:ascii="Times New Roman" w:eastAsia="Times New Roman" w:hAnsi="Times New Roman" w:cs="Times New Roman"/>
          <w:spacing w:val="8"/>
        </w:rPr>
        <w:t>NSCLC</w:t>
      </w:r>
      <w:r>
        <w:rPr>
          <w:rStyle w:val="any"/>
          <w:rFonts w:ascii="PMingLiU" w:eastAsia="PMingLiU" w:hAnsi="PMingLiU" w:cs="PMingLiU"/>
          <w:spacing w:val="8"/>
        </w:rPr>
        <w:t>作为癌基因的发展和发展，因此对于</w:t>
      </w:r>
      <w:r>
        <w:rPr>
          <w:rStyle w:val="any"/>
          <w:rFonts w:ascii="Times New Roman" w:eastAsia="Times New Roman" w:hAnsi="Times New Roman" w:cs="Times New Roman"/>
          <w:spacing w:val="8"/>
        </w:rPr>
        <w:t>NSCLC</w:t>
      </w:r>
      <w:r>
        <w:rPr>
          <w:rStyle w:val="any"/>
          <w:rFonts w:ascii="PMingLiU" w:eastAsia="PMingLiU" w:hAnsi="PMingLiU" w:cs="PMingLiU"/>
          <w:spacing w:val="8"/>
        </w:rPr>
        <w:t>患者来说可能是潜在的治疗靶标。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555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0777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81501505,81473469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Lihong Fan </w:t>
      </w:r>
      <w:r>
        <w:rPr>
          <w:rStyle w:val="any"/>
          <w:rFonts w:ascii="PMingLiU" w:eastAsia="PMingLiU" w:hAnsi="PMingLiU" w:cs="PMingLiU"/>
          <w:spacing w:val="8"/>
        </w:rPr>
        <w:t>（音译：范理宏），疑为</w:t>
      </w:r>
      <w:r>
        <w:rPr>
          <w:rStyle w:val="any"/>
          <w:rFonts w:ascii="PMingLiU" w:eastAsia="PMingLiU" w:hAnsi="PMingLiU" w:cs="PMingLiU"/>
          <w:spacing w:val="8"/>
        </w:rPr>
        <w:t>上海市第六人民医院党委副书记。历任上海市第六人民医院医务处处长，上海市肺科医院医疗副院长。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https://pubpeer.com/publications/EE6631BB03751CA3F470FEB40DB7E0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https://karger.com/cpb/article/51/6/2716/76572/FOXD1-Promotes-Cell-Growth-and-Metastasis-by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560&amp;idx=3&amp;sn=5181886a261500c950dff9f675fd21d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