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上海市第十人民医院多篇论文陷图片重复漩涡，学术诚信引争议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07:21:50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2016年2月，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上海市第十人民医院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Oncotarget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期刊上发表了一篇论文。在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发表9年后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因图片组内重复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“miR-194 inhibits the proliferation, invasion, migration, and enhances the chemosensitivity of non-small cell lung cancer cells by targeting forkhead box A1 protein”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第一作者：上海市第十人民医院的Xuchao Zhu，Dan Li， Fei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通讯作者：上海市第十人民医院的Lihong Fan，Zhongwei Lv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683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0905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7947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249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284166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9685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416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2070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1750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针对上述质疑，尚未见到作者在www.pubpeer.com上的回应内容。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https://pubpeer.com/publications/467DC912D54204DDBA5BA421690C8F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155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3714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9197&amp;idx=1&amp;sn=6f8081b7abe6fea2d98aa7888e15e0b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