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IF=49.8</w:t>
        </w:r>
        <w:r>
          <w:rPr>
            <w:rStyle w:val="a"/>
            <w:rFonts w:ascii="PMingLiU" w:eastAsia="PMingLiU" w:hAnsi="PMingLiU" w:cs="PMingLiU"/>
            <w:b w:val="0"/>
            <w:bCs w:val="0"/>
            <w:spacing w:val="8"/>
          </w:rPr>
          <w:t>！西安交通大学国家级青年人才刘宇航教授团队联合多单位发表的重磅论文被评议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2025-04-25 21:58:00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9138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Self-assembled bilayer for perovskite solar cells with improved tolerance against thermal stresses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2025</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1</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6</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西安交通大学</w:t>
      </w:r>
      <w:r>
        <w:rPr>
          <w:rStyle w:val="any"/>
          <w:rFonts w:ascii="Times New Roman" w:eastAsia="Times New Roman" w:hAnsi="Times New Roman" w:cs="Times New Roman"/>
          <w:b w:val="0"/>
          <w:bCs w:val="0"/>
          <w:spacing w:val="8"/>
          <w:sz w:val="21"/>
          <w:szCs w:val="21"/>
        </w:rPr>
        <w:t> </w:t>
      </w:r>
      <w:r>
        <w:rPr>
          <w:rStyle w:val="any"/>
          <w:rFonts w:ascii="Times New Roman" w:eastAsia="Times New Roman" w:hAnsi="Times New Roman" w:cs="Times New Roman"/>
          <w:b w:val="0"/>
          <w:bCs w:val="0"/>
          <w:spacing w:val="8"/>
          <w:sz w:val="21"/>
          <w:szCs w:val="21"/>
        </w:rPr>
        <w:t>Bitao Dong</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Wei Ma(</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马伟</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Yuhang Liu </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刘宇航</w:t>
      </w:r>
      <w:r>
        <w:rPr>
          <w:rStyle w:val="any"/>
          <w:rFonts w:ascii="Times New Roman" w:eastAsia="Times New Roman" w:hAnsi="Times New Roman" w:cs="Times New Roman"/>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瑞士洛桑联邦理工大学</w:t>
      </w:r>
      <w:r>
        <w:rPr>
          <w:rStyle w:val="any"/>
          <w:rFonts w:ascii="Microsoft YaHei UI" w:eastAsia="Microsoft YaHei UI" w:hAnsi="Microsoft YaHei UI" w:cs="Microsoft YaHei UI"/>
          <w:b w:val="0"/>
          <w:bCs w:val="0"/>
          <w:i w:val="0"/>
          <w:iCs w:val="0"/>
          <w:spacing w:val="9"/>
          <w:sz w:val="21"/>
          <w:szCs w:val="21"/>
        </w:rPr>
        <w:t> </w:t>
      </w:r>
      <w:r>
        <w:rPr>
          <w:rStyle w:val="any"/>
          <w:rFonts w:ascii="Microsoft YaHei UI" w:eastAsia="Microsoft YaHei UI" w:hAnsi="Microsoft YaHei UI" w:cs="Microsoft YaHei UI"/>
          <w:b w:val="0"/>
          <w:bCs w:val="0"/>
          <w:i w:val="0"/>
          <w:iCs w:val="0"/>
          <w:spacing w:val="9"/>
          <w:sz w:val="21"/>
          <w:szCs w:val="21"/>
        </w:rPr>
        <w:t>Mingyang Wei、</w:t>
      </w:r>
      <w:r>
        <w:rPr>
          <w:rStyle w:val="any"/>
          <w:rFonts w:ascii="Microsoft YaHei UI" w:eastAsia="Microsoft YaHei UI" w:hAnsi="Microsoft YaHei UI" w:cs="Microsoft YaHei UI"/>
          <w:b w:val="0"/>
          <w:bCs w:val="0"/>
          <w:i w:val="0"/>
          <w:iCs w:val="0"/>
          <w:spacing w:val="9"/>
          <w:sz w:val="21"/>
          <w:szCs w:val="21"/>
        </w:rPr>
        <w:t>Anders Hagfeldt、Michael Gr</w:t>
      </w:r>
      <w:r>
        <w:rPr>
          <w:rStyle w:val="any"/>
          <w:rFonts w:ascii="Times New Roman" w:eastAsia="Times New Roman" w:hAnsi="Times New Roman" w:cs="Times New Roman"/>
          <w:b w:val="0"/>
          <w:bCs w:val="0"/>
          <w:spacing w:val="8"/>
          <w:sz w:val="21"/>
          <w:szCs w:val="21"/>
        </w:rPr>
        <w:t>?tzel</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华中科技大学</w:t>
      </w:r>
      <w:r>
        <w:rPr>
          <w:rStyle w:val="any"/>
          <w:rFonts w:ascii="Times New Roman" w:eastAsia="Times New Roman" w:hAnsi="Times New Roman" w:cs="Times New Roman"/>
          <w:b w:val="0"/>
          <w:bCs w:val="0"/>
          <w:spacing w:val="8"/>
          <w:sz w:val="21"/>
          <w:szCs w:val="21"/>
        </w:rPr>
        <w:t xml:space="preserve"> Yuheng Li</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Shuai You</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尤帅</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Xiong Li</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李雄</w:t>
      </w:r>
      <w:r>
        <w:rPr>
          <w:rStyle w:val="any"/>
          <w:rFonts w:ascii="Times New Roman" w:eastAsia="Times New Roman" w:hAnsi="Times New Roman" w:cs="Times New Roman"/>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复旦大学微电子学院</w:t>
      </w:r>
      <w:r>
        <w:rPr>
          <w:rStyle w:val="any"/>
          <w:rFonts w:ascii="Times New Roman" w:eastAsia="Times New Roman" w:hAnsi="Times New Roman" w:cs="Times New Roman"/>
          <w:b w:val="0"/>
          <w:bCs w:val="0"/>
          <w:spacing w:val="8"/>
          <w:sz w:val="21"/>
          <w:szCs w:val="21"/>
        </w:rPr>
        <w:t xml:space="preserve"> Yingguo Yang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Nature Energy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79138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14939" name=""/>
                    <pic:cNvPicPr>
                      <a:picLocks noChangeAspect="1"/>
                    </pic:cNvPicPr>
                  </pic:nvPicPr>
                  <pic:blipFill>
                    <a:blip xmlns:r="http://schemas.openxmlformats.org/officeDocument/2006/relationships" r:embed="rId7"/>
                    <a:stretch>
                      <a:fillRect/>
                    </a:stretch>
                  </pic:blipFill>
                  <pic:spPr>
                    <a:xfrm>
                      <a:off x="0" y="0"/>
                      <a:ext cx="5505450" cy="279138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77957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13364" name=""/>
                    <pic:cNvPicPr>
                      <a:picLocks noChangeAspect="1"/>
                    </pic:cNvPicPr>
                  </pic:nvPicPr>
                  <pic:blipFill>
                    <a:blip xmlns:r="http://schemas.openxmlformats.org/officeDocument/2006/relationships" r:embed="rId8"/>
                    <a:stretch>
                      <a:fillRect/>
                    </a:stretch>
                  </pic:blipFill>
                  <pic:spPr>
                    <a:xfrm>
                      <a:off x="0" y="0"/>
                      <a:ext cx="5505450" cy="779571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39510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Microsoft YaHei UI" w:eastAsia="Microsoft YaHei UI" w:hAnsi="Microsoft YaHei UI" w:cs="Microsoft YaHei UI"/>
          <w:b/>
          <w:bCs/>
          <w:i w:val="0"/>
          <w:iCs w:val="0"/>
          <w:spacing w:val="9"/>
          <w:sz w:val="21"/>
          <w:szCs w:val="21"/>
        </w:rPr>
        <w:t> </w:t>
      </w:r>
      <w:r>
        <w:rPr>
          <w:rStyle w:val="any"/>
          <w:rFonts w:ascii="PMingLiU" w:eastAsia="PMingLiU" w:hAnsi="PMingLiU" w:cs="PMingLiU"/>
          <w:b/>
          <w:bCs/>
          <w:spacing w:val="8"/>
          <w:sz w:val="21"/>
          <w:szCs w:val="21"/>
        </w:rPr>
        <w:t>关于峰值以</w:t>
      </w:r>
      <w:r>
        <w:rPr>
          <w:rStyle w:val="any"/>
          <w:rFonts w:ascii="Times New Roman" w:eastAsia="Times New Roman" w:hAnsi="Times New Roman" w:cs="Times New Roman"/>
          <w:b/>
          <w:bCs/>
          <w:spacing w:val="8"/>
          <w:sz w:val="21"/>
          <w:szCs w:val="21"/>
        </w:rPr>
        <w:t xml:space="preserve">45° </w:t>
      </w:r>
      <w:r>
        <w:rPr>
          <w:rStyle w:val="any"/>
          <w:rFonts w:ascii="PMingLiU" w:eastAsia="PMingLiU" w:hAnsi="PMingLiU" w:cs="PMingLiU"/>
          <w:b/>
          <w:bCs/>
          <w:spacing w:val="8"/>
          <w:sz w:val="21"/>
          <w:szCs w:val="21"/>
        </w:rPr>
        <w:t>为中心的说法是不正确的。这是显示取向的包晶材料的特征</w:t>
      </w:r>
      <w:r>
        <w:rPr>
          <w:rStyle w:val="any"/>
          <w:rFonts w:ascii="Times New Roman" w:eastAsia="Times New Roman" w:hAnsi="Times New Roman" w:cs="Times New Roman"/>
          <w:b/>
          <w:bCs/>
          <w:spacing w:val="8"/>
          <w:sz w:val="21"/>
          <w:szCs w:val="21"/>
        </w:rPr>
        <w:t xml:space="preserve"> GIWAXS </w:t>
      </w:r>
      <w:r>
        <w:rPr>
          <w:rStyle w:val="any"/>
          <w:rFonts w:ascii="PMingLiU" w:eastAsia="PMingLiU" w:hAnsi="PMingLiU" w:cs="PMingLiU"/>
          <w:b/>
          <w:bCs/>
          <w:spacing w:val="8"/>
          <w:sz w:val="21"/>
          <w:szCs w:val="21"/>
        </w:rPr>
        <w:t>图样。观察到的峰值表明</w:t>
      </w:r>
      <w:r>
        <w:rPr>
          <w:rStyle w:val="any"/>
          <w:rFonts w:ascii="Times New Roman" w:eastAsia="Times New Roman" w:hAnsi="Times New Roman" w:cs="Times New Roman"/>
          <w:b/>
          <w:bCs/>
          <w:spacing w:val="8"/>
          <w:sz w:val="21"/>
          <w:szCs w:val="21"/>
        </w:rPr>
        <w:t xml:space="preserve"> (211) </w:t>
      </w:r>
      <w:r>
        <w:rPr>
          <w:rStyle w:val="any"/>
          <w:rFonts w:ascii="PMingLiU" w:eastAsia="PMingLiU" w:hAnsi="PMingLiU" w:cs="PMingLiU"/>
          <w:b/>
          <w:bCs/>
          <w:spacing w:val="8"/>
          <w:sz w:val="21"/>
          <w:szCs w:val="21"/>
        </w:rPr>
        <w:t>平面沿</w:t>
      </w:r>
      <w:r>
        <w:rPr>
          <w:rStyle w:val="any"/>
          <w:rFonts w:ascii="Times New Roman" w:eastAsia="Times New Roman" w:hAnsi="Times New Roman" w:cs="Times New Roman"/>
          <w:b/>
          <w:bCs/>
          <w:spacing w:val="8"/>
          <w:sz w:val="21"/>
          <w:szCs w:val="21"/>
        </w:rPr>
        <w:t xml:space="preserve"> qz</w:t>
      </w:r>
      <w:r>
        <w:rPr>
          <w:rStyle w:val="any"/>
          <w:rFonts w:ascii="PMingLiU" w:eastAsia="PMingLiU" w:hAnsi="PMingLiU" w:cs="PMingLiU"/>
          <w:b/>
          <w:bCs/>
          <w:spacing w:val="8"/>
          <w:sz w:val="21"/>
          <w:szCs w:val="21"/>
        </w:rPr>
        <w:t>（平面外）方向排列。</w:t>
      </w: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PMingLiU" w:eastAsia="PMingLiU" w:hAnsi="PMingLiU" w:cs="PMingLiU"/>
          <w:b/>
          <w:bCs/>
          <w:spacing w:val="8"/>
          <w:sz w:val="21"/>
          <w:szCs w:val="21"/>
        </w:rPr>
        <w:t>下面是图</w:t>
      </w:r>
      <w:r>
        <w:rPr>
          <w:rStyle w:val="any"/>
          <w:rFonts w:ascii="Times New Roman" w:eastAsia="Times New Roman" w:hAnsi="Times New Roman" w:cs="Times New Roman"/>
          <w:b/>
          <w:bCs/>
          <w:spacing w:val="8"/>
          <w:sz w:val="21"/>
          <w:szCs w:val="21"/>
        </w:rPr>
        <w:t xml:space="preserve"> 3a </w:t>
      </w:r>
      <w:r>
        <w:rPr>
          <w:rStyle w:val="any"/>
          <w:rFonts w:ascii="PMingLiU" w:eastAsia="PMingLiU" w:hAnsi="PMingLiU" w:cs="PMingLiU"/>
          <w:b/>
          <w:bCs/>
          <w:spacing w:val="8"/>
          <w:sz w:val="21"/>
          <w:szCs w:val="21"/>
        </w:rPr>
        <w:t>中原始图案与模拟的</w:t>
      </w:r>
      <w:r>
        <w:rPr>
          <w:rStyle w:val="any"/>
          <w:rFonts w:ascii="Times New Roman" w:eastAsia="Times New Roman" w:hAnsi="Times New Roman" w:cs="Times New Roman"/>
          <w:b/>
          <w:bCs/>
          <w:spacing w:val="8"/>
          <w:sz w:val="21"/>
          <w:szCs w:val="21"/>
        </w:rPr>
        <w:t xml:space="preserve"> 211 </w:t>
      </w:r>
      <w:r>
        <w:rPr>
          <w:rStyle w:val="any"/>
          <w:rFonts w:ascii="PMingLiU" w:eastAsia="PMingLiU" w:hAnsi="PMingLiU" w:cs="PMingLiU"/>
          <w:b/>
          <w:bCs/>
          <w:spacing w:val="8"/>
          <w:sz w:val="21"/>
          <w:szCs w:val="21"/>
        </w:rPr>
        <w:t>取向图案的对比。</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334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626231" name=""/>
                    <pic:cNvPicPr>
                      <a:picLocks noChangeAspect="1"/>
                    </pic:cNvPicPr>
                  </pic:nvPicPr>
                  <pic:blipFill>
                    <a:blip xmlns:r="http://schemas.openxmlformats.org/officeDocument/2006/relationships" r:embed="rId9"/>
                    <a:stretch>
                      <a:fillRect/>
                    </a:stretch>
                  </pic:blipFill>
                  <pic:spPr>
                    <a:xfrm>
                      <a:off x="0" y="0"/>
                      <a:ext cx="5486400" cy="278334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还有一张重叠的照片。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0648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33681" name=""/>
                    <pic:cNvPicPr>
                      <a:picLocks noChangeAspect="1"/>
                    </pic:cNvPicPr>
                  </pic:nvPicPr>
                  <pic:blipFill>
                    <a:blip xmlns:r="http://schemas.openxmlformats.org/officeDocument/2006/relationships" r:embed="rId10"/>
                    <a:stretch>
                      <a:fillRect/>
                    </a:stretch>
                  </pic:blipFill>
                  <pic:spPr>
                    <a:xfrm>
                      <a:off x="0" y="0"/>
                      <a:ext cx="5486400" cy="52064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b/>
          <w:bCs/>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10" w:lineRule="atLeast"/>
        <w:ind w:left="300" w:right="300"/>
        <w:jc w:val="left"/>
        <w:rPr>
          <w:rStyle w:val="any"/>
          <w:rFonts w:ascii="Times New Roman" w:eastAsia="Times New Roman" w:hAnsi="Times New Roman" w:cs="Times New Roman"/>
          <w:b/>
          <w:bCs/>
          <w:spacing w:val="8"/>
          <w:sz w:val="21"/>
          <w:szCs w:val="21"/>
        </w:rPr>
      </w:pPr>
      <w:r>
        <w:rPr>
          <w:rStyle w:val="any"/>
          <w:rFonts w:ascii="Times New Roman" w:eastAsia="Times New Roman" w:hAnsi="Times New Roman" w:cs="Times New Roman"/>
          <w:b/>
          <w:bCs/>
          <w:strike w:val="0"/>
          <w:spacing w:val="8"/>
          <w:sz w:val="21"/>
          <w:szCs w:val="21"/>
          <w:u w:val="none"/>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2226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center"/>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3"/>
          <w:szCs w:val="23"/>
        </w:rPr>
        <w:t>作者回应</w:t>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center"/>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作者</w:t>
      </w:r>
      <w:r>
        <w:rPr>
          <w:rStyle w:val="any"/>
          <w:rFonts w:ascii="Times New Roman" w:eastAsia="Times New Roman" w:hAnsi="Times New Roman" w:cs="Times New Roman"/>
          <w:b/>
          <w:bCs/>
          <w:spacing w:val="8"/>
          <w:sz w:val="21"/>
          <w:szCs w:val="21"/>
        </w:rPr>
        <w:t xml:space="preserve"> Yuhang Liu </w:t>
      </w:r>
      <w:r>
        <w:rPr>
          <w:rStyle w:val="any"/>
          <w:rFonts w:ascii="PMingLiU" w:eastAsia="PMingLiU" w:hAnsi="PMingLiU" w:cs="PMingLiU"/>
          <w:b/>
          <w:bCs/>
          <w:spacing w:val="8"/>
          <w:sz w:val="21"/>
          <w:szCs w:val="21"/>
        </w:rPr>
        <w:t>回应：</w:t>
      </w:r>
      <w:r>
        <w:rPr>
          <w:rStyle w:val="any"/>
          <w:rFonts w:ascii="PMingLiU" w:eastAsia="PMingLiU" w:hAnsi="PMingLiU" w:cs="PMingLiU"/>
          <w:b w:val="0"/>
          <w:bCs w:val="0"/>
          <w:spacing w:val="8"/>
          <w:sz w:val="21"/>
          <w:szCs w:val="21"/>
        </w:rPr>
        <w:t>感谢您就包晶石薄膜的晶体取向问题所做的讨论。尤其是在过氧化物太阳能电池界，人们通常把该</w:t>
      </w:r>
      <w:r>
        <w:rPr>
          <w:rStyle w:val="any"/>
          <w:rFonts w:ascii="Times New Roman" w:eastAsia="Times New Roman" w:hAnsi="Times New Roman" w:cs="Times New Roman"/>
          <w:b w:val="0"/>
          <w:bCs w:val="0"/>
          <w:spacing w:val="8"/>
          <w:sz w:val="21"/>
          <w:szCs w:val="21"/>
        </w:rPr>
        <w:t xml:space="preserve"> q </w:t>
      </w:r>
      <w:r>
        <w:rPr>
          <w:rStyle w:val="any"/>
          <w:rFonts w:ascii="PMingLiU" w:eastAsia="PMingLiU" w:hAnsi="PMingLiU" w:cs="PMingLiU"/>
          <w:b w:val="0"/>
          <w:bCs w:val="0"/>
          <w:spacing w:val="8"/>
          <w:sz w:val="21"/>
          <w:szCs w:val="21"/>
        </w:rPr>
        <w:t>值下的主要特征简单地称为</w:t>
      </w:r>
      <w:r>
        <w:rPr>
          <w:rStyle w:val="any"/>
          <w:rFonts w:ascii="Times New Roman" w:eastAsia="Times New Roman" w:hAnsi="Times New Roman" w:cs="Times New Roman"/>
          <w:b w:val="0"/>
          <w:bCs w:val="0"/>
          <w:spacing w:val="8"/>
          <w:sz w:val="21"/>
          <w:szCs w:val="21"/>
        </w:rPr>
        <w:t xml:space="preserve"> (100) </w:t>
      </w:r>
      <w:r>
        <w:rPr>
          <w:rStyle w:val="any"/>
          <w:rFonts w:ascii="PMingLiU" w:eastAsia="PMingLiU" w:hAnsi="PMingLiU" w:cs="PMingLiU"/>
          <w:b w:val="0"/>
          <w:bCs w:val="0"/>
          <w:spacing w:val="8"/>
          <w:sz w:val="21"/>
          <w:szCs w:val="21"/>
        </w:rPr>
        <w:t>峰，而不试图确定具体的取向。</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例如，《</w:t>
      </w:r>
      <w:r>
        <w:rPr>
          <w:rStyle w:val="any"/>
          <w:rFonts w:ascii="Times New Roman" w:eastAsia="Times New Roman" w:hAnsi="Times New Roman" w:cs="Times New Roman"/>
          <w:b w:val="0"/>
          <w:bCs w:val="0"/>
          <w:spacing w:val="8"/>
          <w:sz w:val="21"/>
          <w:szCs w:val="21"/>
        </w:rPr>
        <w:t>Nature</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 xml:space="preserve">2025 </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 xml:space="preserve">639 </w:t>
      </w:r>
      <w:r>
        <w:rPr>
          <w:rStyle w:val="any"/>
          <w:rFonts w:ascii="PMingLiU" w:eastAsia="PMingLiU" w:hAnsi="PMingLiU" w:cs="PMingLiU"/>
          <w:b w:val="0"/>
          <w:bCs w:val="0"/>
          <w:spacing w:val="8"/>
          <w:sz w:val="21"/>
          <w:szCs w:val="21"/>
        </w:rPr>
        <w:t>期，</w:t>
      </w:r>
      <w:r>
        <w:rPr>
          <w:rStyle w:val="any"/>
          <w:rFonts w:ascii="Times New Roman" w:eastAsia="Times New Roman" w:hAnsi="Times New Roman" w:cs="Times New Roman"/>
          <w:b w:val="0"/>
          <w:bCs w:val="0"/>
          <w:spacing w:val="8"/>
          <w:sz w:val="21"/>
          <w:szCs w:val="21"/>
        </w:rPr>
        <w:t xml:space="preserve">93-101 </w:t>
      </w:r>
      <w:r>
        <w:rPr>
          <w:rStyle w:val="any"/>
          <w:rFonts w:ascii="PMingLiU" w:eastAsia="PMingLiU" w:hAnsi="PMingLiU" w:cs="PMingLiU"/>
          <w:b w:val="0"/>
          <w:bCs w:val="0"/>
          <w:spacing w:val="8"/>
          <w:sz w:val="21"/>
          <w:szCs w:val="21"/>
        </w:rPr>
        <w:t>页；</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图</w:t>
      </w:r>
      <w:r>
        <w:rPr>
          <w:rStyle w:val="any"/>
          <w:rFonts w:ascii="Times New Roman" w:eastAsia="Times New Roman" w:hAnsi="Times New Roman" w:cs="Times New Roman"/>
          <w:b w:val="0"/>
          <w:bCs w:val="0"/>
          <w:spacing w:val="8"/>
          <w:sz w:val="21"/>
          <w:szCs w:val="21"/>
        </w:rPr>
        <w:t xml:space="preserve"> 2b</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散射矢量为</w:t>
      </w:r>
      <w:r>
        <w:rPr>
          <w:rStyle w:val="any"/>
          <w:rFonts w:ascii="Times New Roman" w:eastAsia="Times New Roman" w:hAnsi="Times New Roman" w:cs="Times New Roman"/>
          <w:b w:val="0"/>
          <w:bCs w:val="0"/>
          <w:spacing w:val="8"/>
          <w:sz w:val="21"/>
          <w:szCs w:val="21"/>
        </w:rPr>
        <w:t xml:space="preserve"> 1 </w:t>
      </w:r>
      <w:r>
        <w:rPr>
          <w:rStyle w:val="any"/>
          <w:rFonts w:ascii="PMingLiU" w:eastAsia="PMingLiU" w:hAnsi="PMingLiU" w:cs="PMingLiU"/>
          <w:b w:val="0"/>
          <w:bCs w:val="0"/>
          <w:spacing w:val="8"/>
          <w:sz w:val="21"/>
          <w:szCs w:val="21"/>
        </w:rPr>
        <w:t>和</w:t>
      </w:r>
      <w:r>
        <w:rPr>
          <w:rStyle w:val="any"/>
          <w:rFonts w:ascii="Times New Roman" w:eastAsia="Times New Roman" w:hAnsi="Times New Roman" w:cs="Times New Roman"/>
          <w:b w:val="0"/>
          <w:bCs w:val="0"/>
          <w:spacing w:val="8"/>
          <w:sz w:val="21"/>
          <w:szCs w:val="21"/>
        </w:rPr>
        <w:t xml:space="preserve"> 2 ?-1 </w:t>
      </w:r>
      <w:r>
        <w:rPr>
          <w:rStyle w:val="any"/>
          <w:rFonts w:ascii="PMingLiU" w:eastAsia="PMingLiU" w:hAnsi="PMingLiU" w:cs="PMingLiU"/>
          <w:b w:val="0"/>
          <w:bCs w:val="0"/>
          <w:spacing w:val="8"/>
          <w:sz w:val="21"/>
          <w:szCs w:val="21"/>
        </w:rPr>
        <w:t>处的光晕分别来自</w:t>
      </w:r>
      <w:r>
        <w:rPr>
          <w:rStyle w:val="any"/>
          <w:rFonts w:ascii="Times New Roman" w:eastAsia="Times New Roman" w:hAnsi="Times New Roman" w:cs="Times New Roman"/>
          <w:b w:val="0"/>
          <w:bCs w:val="0"/>
          <w:spacing w:val="8"/>
          <w:sz w:val="21"/>
          <w:szCs w:val="21"/>
        </w:rPr>
        <w:t xml:space="preserve"> (100) </w:t>
      </w:r>
      <w:r>
        <w:rPr>
          <w:rStyle w:val="any"/>
          <w:rFonts w:ascii="PMingLiU" w:eastAsia="PMingLiU" w:hAnsi="PMingLiU" w:cs="PMingLiU"/>
          <w:b w:val="0"/>
          <w:bCs w:val="0"/>
          <w:spacing w:val="8"/>
          <w:sz w:val="21"/>
          <w:szCs w:val="21"/>
        </w:rPr>
        <w:t>和</w:t>
      </w:r>
      <w:r>
        <w:rPr>
          <w:rStyle w:val="any"/>
          <w:rFonts w:ascii="Times New Roman" w:eastAsia="Times New Roman" w:hAnsi="Times New Roman" w:cs="Times New Roman"/>
          <w:b w:val="0"/>
          <w:bCs w:val="0"/>
          <w:spacing w:val="8"/>
          <w:sz w:val="21"/>
          <w:szCs w:val="21"/>
        </w:rPr>
        <w:t xml:space="preserve"> (200) </w:t>
      </w:r>
      <w:r>
        <w:rPr>
          <w:rStyle w:val="any"/>
          <w:rFonts w:ascii="PMingLiU" w:eastAsia="PMingLiU" w:hAnsi="PMingLiU" w:cs="PMingLiU"/>
          <w:b w:val="0"/>
          <w:bCs w:val="0"/>
          <w:spacing w:val="8"/>
          <w:sz w:val="21"/>
          <w:szCs w:val="21"/>
        </w:rPr>
        <w:t>峰的衍射</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Nature Communications</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 xml:space="preserve">2025 </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16</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 xml:space="preserve">1042 </w:t>
      </w:r>
      <w:r>
        <w:rPr>
          <w:rStyle w:val="any"/>
          <w:rFonts w:ascii="PMingLiU" w:eastAsia="PMingLiU" w:hAnsi="PMingLiU" w:cs="PMingLiU"/>
          <w:b w:val="0"/>
          <w:bCs w:val="0"/>
          <w:spacing w:val="8"/>
          <w:sz w:val="21"/>
          <w:szCs w:val="21"/>
        </w:rPr>
        <w:t>期</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对照包晶样品在</w:t>
      </w:r>
      <w:r>
        <w:rPr>
          <w:rStyle w:val="any"/>
          <w:rFonts w:ascii="Times New Roman" w:eastAsia="Times New Roman" w:hAnsi="Times New Roman" w:cs="Times New Roman"/>
          <w:b w:val="0"/>
          <w:bCs w:val="0"/>
          <w:spacing w:val="8"/>
          <w:sz w:val="21"/>
          <w:szCs w:val="21"/>
        </w:rPr>
        <w:t xml:space="preserve"> qz</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~1 ?-1</w:t>
      </w:r>
      <w:r>
        <w:rPr>
          <w:rStyle w:val="any"/>
          <w:rFonts w:ascii="PMingLiU" w:eastAsia="PMingLiU" w:hAnsi="PMingLiU" w:cs="PMingLiU"/>
          <w:b w:val="0"/>
          <w:bCs w:val="0"/>
          <w:spacing w:val="8"/>
          <w:sz w:val="21"/>
          <w:szCs w:val="21"/>
        </w:rPr>
        <w:t>）处显示出明显的衍射峰，代表三维包晶的</w:t>
      </w:r>
      <w:r>
        <w:rPr>
          <w:rStyle w:val="any"/>
          <w:rFonts w:ascii="Times New Roman" w:eastAsia="Times New Roman" w:hAnsi="Times New Roman" w:cs="Times New Roman"/>
          <w:b w:val="0"/>
          <w:bCs w:val="0"/>
          <w:spacing w:val="8"/>
          <w:sz w:val="21"/>
          <w:szCs w:val="21"/>
        </w:rPr>
        <w:t xml:space="preserve"> (100) </w:t>
      </w:r>
      <w:r>
        <w:rPr>
          <w:rStyle w:val="any"/>
          <w:rFonts w:ascii="PMingLiU" w:eastAsia="PMingLiU" w:hAnsi="PMingLiU" w:cs="PMingLiU"/>
          <w:b w:val="0"/>
          <w:bCs w:val="0"/>
          <w:spacing w:val="8"/>
          <w:sz w:val="21"/>
          <w:szCs w:val="21"/>
        </w:rPr>
        <w:t>主峰（图</w:t>
      </w:r>
      <w:r>
        <w:rPr>
          <w:rStyle w:val="any"/>
          <w:rFonts w:ascii="Times New Roman" w:eastAsia="Times New Roman" w:hAnsi="Times New Roman" w:cs="Times New Roman"/>
          <w:b w:val="0"/>
          <w:bCs w:val="0"/>
          <w:spacing w:val="8"/>
          <w:sz w:val="21"/>
          <w:szCs w:val="21"/>
        </w:rPr>
        <w:t xml:space="preserve"> S2</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）。我们注意到，这并没有改变我们的主要结论，即在</w:t>
      </w:r>
      <w:r>
        <w:rPr>
          <w:rStyle w:val="any"/>
          <w:rFonts w:ascii="Times New Roman" w:eastAsia="Times New Roman" w:hAnsi="Times New Roman" w:cs="Times New Roman"/>
          <w:b w:val="0"/>
          <w:bCs w:val="0"/>
          <w:spacing w:val="8"/>
          <w:sz w:val="21"/>
          <w:szCs w:val="21"/>
        </w:rPr>
        <w:t xml:space="preserve"> SAB </w:t>
      </w:r>
      <w:r>
        <w:rPr>
          <w:rStyle w:val="any"/>
          <w:rFonts w:ascii="PMingLiU" w:eastAsia="PMingLiU" w:hAnsi="PMingLiU" w:cs="PMingLiU"/>
          <w:b w:val="0"/>
          <w:bCs w:val="0"/>
          <w:spacing w:val="8"/>
          <w:sz w:val="21"/>
          <w:szCs w:val="21"/>
        </w:rPr>
        <w:t>和</w:t>
      </w:r>
      <w:r>
        <w:rPr>
          <w:rStyle w:val="any"/>
          <w:rFonts w:ascii="Times New Roman" w:eastAsia="Times New Roman" w:hAnsi="Times New Roman" w:cs="Times New Roman"/>
          <w:b w:val="0"/>
          <w:bCs w:val="0"/>
          <w:spacing w:val="8"/>
          <w:sz w:val="21"/>
          <w:szCs w:val="21"/>
        </w:rPr>
        <w:t xml:space="preserve"> SAM </w:t>
      </w:r>
      <w:r>
        <w:rPr>
          <w:rStyle w:val="any"/>
          <w:rFonts w:ascii="PMingLiU" w:eastAsia="PMingLiU" w:hAnsi="PMingLiU" w:cs="PMingLiU"/>
          <w:b w:val="0"/>
          <w:bCs w:val="0"/>
          <w:spacing w:val="8"/>
          <w:sz w:val="21"/>
          <w:szCs w:val="21"/>
        </w:rPr>
        <w:t>基底上生长的包晶薄膜表现出相似的</w:t>
      </w:r>
      <w:r>
        <w:rPr>
          <w:rStyle w:val="any"/>
          <w:rFonts w:ascii="Times New Roman" w:eastAsia="Times New Roman" w:hAnsi="Times New Roman" w:cs="Times New Roman"/>
          <w:b w:val="0"/>
          <w:bCs w:val="0"/>
          <w:spacing w:val="8"/>
          <w:sz w:val="21"/>
          <w:szCs w:val="21"/>
        </w:rPr>
        <w:t xml:space="preserve"> GIWAXS </w:t>
      </w:r>
      <w:r>
        <w:rPr>
          <w:rStyle w:val="any"/>
          <w:rFonts w:ascii="PMingLiU" w:eastAsia="PMingLiU" w:hAnsi="PMingLiU" w:cs="PMingLiU"/>
          <w:b w:val="0"/>
          <w:bCs w:val="0"/>
          <w:spacing w:val="8"/>
          <w:sz w:val="21"/>
          <w:szCs w:val="21"/>
        </w:rPr>
        <w:t>图样。</w:t>
      </w: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中国国家重点研发计划（2022YFE0132400，W.M.， 2022YFB4200305， X.L.， 2024YFE0103700， X.L.）</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M.W.感谢新加坡国立大学总统青年教授职位（A-0010046-00-00;A-0010046-01-00）</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A.H.感谢瑞典能源署（P2020-90215）和瑞典研究委员会（2019-05591， 2023-05244） 的支持。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https://www.nature.com/articles/s41560-024-01689-2#author-information</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https://pubpeer.com/publications/96272F3AEE9205B960AA88CD66EAB5#0</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304&amp;idx=1&amp;sn=aac6f1e1d6026237f1caf956af10fa14"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