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查重警报拉响！广州中医药大学论文惊现多处图像重复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2025-04-22 13:26:20</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3900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2016</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广州中医药大学在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Dioscin augments HSV-tk-mediated suicide gene therapy for melanoma by promoting connexin-based intercellular communication</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广州中医药大学</w:t>
      </w:r>
      <w:r>
        <w:rPr>
          <w:rStyle w:val="any"/>
          <w:rFonts w:ascii="Times New Roman" w:eastAsia="Times New Roman" w:hAnsi="Times New Roman" w:cs="Times New Roman"/>
          <w:spacing w:val="8"/>
          <w:sz w:val="23"/>
          <w:szCs w:val="23"/>
        </w:rPr>
        <w:t>Biaoyan Du, </w:t>
      </w:r>
      <w:r>
        <w:rPr>
          <w:rStyle w:val="any"/>
          <w:rFonts w:ascii="Times New Roman" w:eastAsia="Times New Roman" w:hAnsi="Times New Roman" w:cs="Times New Roman"/>
          <w:spacing w:val="8"/>
          <w:sz w:val="23"/>
          <w:szCs w:val="23"/>
        </w:rPr>
        <w:t>Yuhui Tan</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广州中医药大学</w:t>
      </w:r>
      <w:r>
        <w:rPr>
          <w:rStyle w:val="any"/>
          <w:rFonts w:ascii="Times New Roman" w:eastAsia="Times New Roman" w:hAnsi="Times New Roman" w:cs="Times New Roman"/>
          <w:spacing w:val="8"/>
          <w:sz w:val="23"/>
          <w:szCs w:val="23"/>
        </w:rPr>
        <w:t>Jianyong Xiao, Guangxian Zhang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742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17343" name=""/>
                    <pic:cNvPicPr>
                      <a:picLocks noChangeAspect="1"/>
                    </pic:cNvPicPr>
                  </pic:nvPicPr>
                  <pic:blipFill>
                    <a:blip xmlns:r="http://schemas.openxmlformats.org/officeDocument/2006/relationships" r:embed="rId8"/>
                    <a:stretch>
                      <a:fillRect/>
                    </a:stretch>
                  </pic:blipFill>
                  <pic:spPr>
                    <a:xfrm>
                      <a:off x="0" y="0"/>
                      <a:ext cx="5486400" cy="326742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18857"/>
            <wp:docPr id="100003" name="" descr="广州中医药大学校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60986" name=""/>
                    <pic:cNvPicPr>
                      <a:picLocks noChangeAspect="1"/>
                    </pic:cNvPicPr>
                  </pic:nvPicPr>
                  <pic:blipFill>
                    <a:blip xmlns:r="http://schemas.openxmlformats.org/officeDocument/2006/relationships" r:embed="rId9"/>
                    <a:stretch>
                      <a:fillRect/>
                    </a:stretch>
                  </pic:blipFill>
                  <pic:spPr>
                    <a:xfrm>
                      <a:off x="0" y="0"/>
                      <a:ext cx="5486400" cy="391885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内部存在多个图像重叠。</w:t>
      </w:r>
    </w:p>
    <w:p>
      <w:pPr>
        <w:spacing w:after="0" w:line="384" w:lineRule="atLeast"/>
        <w:ind w:left="300" w:right="300" w:firstLine="0"/>
        <w:jc w:val="left"/>
        <w:rPr>
          <w:rStyle w:val="any"/>
          <w:rFonts w:ascii="Times New Roman" w:eastAsia="Times New Roman" w:hAnsi="Times New Roman" w:cs="Times New Roman"/>
          <w:spacing w:val="8"/>
        </w:rPr>
      </w:pPr>
    </w:p>
    <w:p>
      <w:pPr>
        <w:spacing w:line="384" w:lineRule="atLeast"/>
        <w:ind w:left="300" w:right="300" w:firstLine="0"/>
        <w:jc w:val="left"/>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I was Heterodera avenae above. I found another overlap in Figure 4, </w:t>
      </w:r>
      <w:r>
        <w:rPr>
          <w:rStyle w:val="any"/>
          <w:rFonts w:ascii="Times New Roman" w:eastAsia="Times New Roman" w:hAnsi="Times New Roman" w:cs="Times New Roman"/>
          <w:b/>
          <w:bCs/>
          <w:spacing w:val="8"/>
          <w:sz w:val="23"/>
          <w:szCs w:val="23"/>
          <w:u w:val="single"/>
        </w:rPr>
        <w:t>with the help of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0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75490" name=""/>
                    <pic:cNvPicPr>
                      <a:picLocks noChangeAspect="1"/>
                    </pic:cNvPicPr>
                  </pic:nvPicPr>
                  <pic:blipFill>
                    <a:blip xmlns:r="http://schemas.openxmlformats.org/officeDocument/2006/relationships" r:embed="rId10"/>
                    <a:stretch>
                      <a:fillRect/>
                    </a:stretch>
                  </pic:blipFill>
                  <pic:spPr>
                    <a:xfrm>
                      <a:off x="0" y="0"/>
                      <a:ext cx="5486400" cy="4770280"/>
                    </a:xfrm>
                    <a:prstGeom prst="rect">
                      <a:avLst/>
                    </a:prstGeom>
                  </pic:spPr>
                </pic:pic>
              </a:graphicData>
            </a:graphic>
          </wp:inline>
        </w:drawing>
      </w:r>
    </w:p>
    <w:p>
      <w:pPr>
        <w:spacing w:after="0" w:line="384" w:lineRule="atLeast"/>
        <w:ind w:left="300" w:right="300" w:firstLine="0"/>
        <w:jc w:val="left"/>
        <w:rPr>
          <w:rStyle w:val="any"/>
          <w:rFonts w:ascii="Times New Roman" w:eastAsia="Times New Roman" w:hAnsi="Times New Roman" w:cs="Times New Roman"/>
          <w:color w:val="3DA742"/>
          <w:spacing w:val="8"/>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60"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https://pubpeer.com/publications/1516E59DBBCF8F513078E1658FD547#0</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https://www.oncotarget.com/article/13655/text/</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03036"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25&amp;idx=1&amp;sn=18881a0472bd08b4258ba1095659367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