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香港中文大学医学杂志被质疑图片重复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23:57:59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945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99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Peroxynitrite activates NLRP3 inflammasome and contributes to hemorrhagic transformation and poor outcome in ischemic stroke with hyperglycemia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Free Radical Biology and Medicine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香港中文大学中医药学院&amp;香港大学-深圳研究院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2021年2月4日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10.1016/j.freeradbiomed.2021.01.030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This study aims to test the hypothesis that peroxynitrite-mediated inflammasome activation could be a crucial player in the blood-brain barrier (BBB) disruption, hemorrhagic transformation (HT) and poor outcome in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with hyperglycemia. We used an experimental rat stroke model subjected to 90 min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middle cerebral artery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occlusion plus 24 h or 7 days of reperfusion with or without acute hyperglycemia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We detected the production of peroxynitrite, the expression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NADPH oxidase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iNOS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MMPs and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 the ischemic brains, and evaluated infarct volume, brain edema, HT, neurological deficit score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survival rates. Our results show that: (1) Hyperglycemia increased the expression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NADPH oxidase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subunits p47phox and p67phox, and iNOS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and the production of peroxynitrite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(2) Hyperglycemia increased infarct volume, aggravated the BBB hyperpermeability, induced brain edema and HT, and worsened neurological outcomes. These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brain damages and poor outcome were reversed by the treatments of FeTmPyP (a representative peroxynitrite decomposition catalyst, PDC), peroxynitrite scavenger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uric acid,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iNOS inhibitor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1400W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Furthermore, the activations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including pro/active-caspase-1 and IL-1β were inhibited both PDC and 1400W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indicating the roles of peroxynitrite in the inductions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 the ischemic brains under hyperglycemia. (3)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 inflammasome inhibitor MCC950, caspase-1 inhibitor VX-765 and IL-1β inhibitor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diacerein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attenuated brain edema, minimized hemorrhagic transformation and improved neurological outcome, demonstrating the roles of NLRP3 inflammasome in the hyperglycemia-mediated HT and poor outcome in the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rats with acute hyperglycemia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In conclusion, peroxynitrite could mediate activations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 inflammasome, aggravate the BBB damage and HT, and induce poor outcome in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with hyperglycemia. Therefore, targeting peroxynitrite–mediated NLRP3 inflammasome could be a promising strategy for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 with hyperglycemia.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本研究旨在测试过氧亚硝酸盐介导的炎症小体激活可能在血脑屏障（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BBB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）破坏、出血性转化（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）和糖尿病高血糖缺血性卒中不良预后中起关键作用的假设。我们使用了一种实验性大鼠卒中模型，该模型经过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90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分钟的中间大脑动脉闭塞，随后进行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24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小时或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天的再灌注，并伴有或没有急性高血糖。我们检测了缺血脑组织中过氧亚硝酸盐的产生、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NADPH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氧化酶、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iNOS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炎症小体的表达，并评估了梗死体积、脑水肿、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、神经功能缺损评分和存活率。我们的结果表明：（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）高血糖增加了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NADPH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氧化酶亚基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p47phox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p67phox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以及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iNOS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的表达，并增加了过氧亚硝酸盐的产生。（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）高血糖增加了梗死体积，加剧了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BBB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高通透性，诱导脑水肿和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，并恶化了神经功能。这些脑损伤和不良预后可以通过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FeTmPyP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（一种代表性的过氧亚硝酸盐分解催化剂，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PDC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）、过氧亚硝酸盐清除剂尿酸和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iNOS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1400W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的治疗得到逆转。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此外，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炎症小体的激活，包括促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活性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caspase-1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，在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PDC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1400W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中均被抑制，表明在糖尿病高血糖状态下，过氧亚硝酸盐在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炎症小体诱导缺血性脑损伤中的作用。（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MCC950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caspase-1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VX-765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抑制剂迪西雷恩减轻脑水肿，最小化出血性转化并改善神经功能预后，证明了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炎症小体在糖尿病高血糖介导的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和急性高血糖缺血性卒中不良预后的作用。总之，过氧亚硝酸盐可以介导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炎症小体的激活，加剧血脑屏障损伤和出血性转化，并诱导高血糖缺血性卒中的不良预后。因此，针对过氧亚硝酸盐介导的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炎症小体可能是治疗高血糖缺血性卒中的一个有希望的策略。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AAD19"/>
          <w:spacing w:val="0"/>
          <w:sz w:val="36"/>
          <w:szCs w:val="36"/>
          <w:lang w:val="zh-CN" w:eastAsia="zh-CN"/>
        </w:rPr>
        <w:t>02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AAD19"/>
          <w:spacing w:val="0"/>
          <w:sz w:val="30"/>
          <w:szCs w:val="30"/>
          <w:lang w:val="zh-CN" w:eastAsia="zh-CN"/>
        </w:rPr>
        <w:t>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Microsoft YaHei" w:eastAsia="Microsoft YaHei" w:hAnsi="Microsoft YaHei" w:cs="Microsoft YaHei"/>
          <w:b/>
          <w:bCs/>
          <w:i w:val="0"/>
          <w:iCs w:val="0"/>
          <w:caps w:val="0"/>
          <w:color w:val="9A3030"/>
          <w:spacing w:val="22"/>
          <w:sz w:val="27"/>
          <w:szCs w:val="27"/>
          <w:lang w:val="zh-CN" w:eastAsia="zh-CN"/>
        </w:rPr>
        <w:t>具体说明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#1 </w:t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0"/>
          <w:lang w:val="zh-CN" w:eastAsia="zh-CN"/>
        </w:rPr>
        <w:t>René Aquarius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comment accepted April 2025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评论通过，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年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月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Dear authors,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 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尊敬的作者们，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We found unexpected overlap between two of your figures. We also found that the same brain sections produced different results in two of your figures.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我们发现您两幅图中存在意外的重叠。同时，我们还发现同一脑区在您两幅图中产生了不同的结果。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All findings are indicated in the enclosed image below.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所有发现均已在下附图像中指明。</w:t>
      </w:r>
    </w:p>
    <w:p>
      <w:pPr>
        <w:widowControl/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strike w:val="0"/>
          <w:color w:val="1F1F1F"/>
          <w:spacing w:val="0"/>
          <w:u w:val="none"/>
          <w:lang w:val="zh-CN" w:eastAsia="zh-CN"/>
        </w:rPr>
        <w:drawing>
          <wp:inline>
            <wp:extent cx="5486400" cy="49530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43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1F1F1F"/>
          <w:spacing w:val="9"/>
          <w:sz w:val="21"/>
          <w:szCs w:val="21"/>
          <w:lang w:val="zh-CN" w:eastAsia="zh-CN"/>
        </w:rPr>
        <w:t>参考信息</w:t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21"/>
          <w:szCs w:val="21"/>
          <w:lang w:val="zh-CN" w:eastAsia="zh-CN"/>
        </w:rPr>
        <w:br/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18"/>
          <w:szCs w:val="18"/>
          <w:lang w:val="zh-CN" w:eastAsia="zh-CN"/>
        </w:rPr>
        <w:t>https://www.sciencedirect.com/science/article/abs/pii/S0891584921000472?via%3Dihub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18"/>
          <w:szCs w:val="18"/>
          <w:lang w:val="zh-CN" w:eastAsia="zh-CN"/>
        </w:rPr>
        <w:t>https://pubpeer.com/publications/0E6294D33B013D0D004B0ADA67F5AE#0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</w:pPr>
    </w:p>
    <w:p>
      <w:pPr>
        <w:widowControl/>
        <w:shd w:val="clear" w:color="auto" w:fill="FFFFFF"/>
        <w:spacing w:before="0" w:after="150" w:line="390" w:lineRule="atLeast"/>
        <w:ind w:left="840" w:right="465" w:firstLine="0"/>
        <w:jc w:val="left"/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For Better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2&amp;idx=1&amp;sn=3c4cb4021bb190905dec700af0e847a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