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35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24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30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54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90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61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17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2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