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山西医科大学第一医院徐钧的论文被撤稿，因研究方法和结果存在科学缺陷及不一致</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2025-03-28 14:17:53</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268592"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1938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2023</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16</w:t>
      </w:r>
      <w:r>
        <w:rPr>
          <w:rStyle w:val="any"/>
          <w:rFonts w:ascii="PMingLiU" w:eastAsia="PMingLiU" w:hAnsi="PMingLiU" w:cs="PMingLiU"/>
          <w:spacing w:val="9"/>
          <w:sz w:val="21"/>
          <w:szCs w:val="21"/>
        </w:rPr>
        <w:t>日，</w:t>
      </w:r>
      <w:r>
        <w:rPr>
          <w:rStyle w:val="any"/>
          <w:rFonts w:ascii="PMingLiU" w:eastAsia="PMingLiU" w:hAnsi="PMingLiU" w:cs="PMingLiU"/>
          <w:spacing w:val="9"/>
          <w:sz w:val="21"/>
          <w:szCs w:val="21"/>
        </w:rPr>
        <w:t>山西医科大学第一医院的</w:t>
      </w:r>
      <w:r>
        <w:rPr>
          <w:rStyle w:val="any"/>
          <w:rFonts w:ascii="Times New Roman" w:eastAsia="Times New Roman" w:hAnsi="Times New Roman" w:cs="Times New Roman"/>
          <w:color w:val="C84D0C"/>
          <w:spacing w:val="9"/>
          <w:sz w:val="21"/>
          <w:szCs w:val="21"/>
        </w:rPr>
        <w:t>Yanbin Meng</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color w:val="C84D0C"/>
          <w:spacing w:val="9"/>
          <w:sz w:val="21"/>
          <w:szCs w:val="21"/>
        </w:rPr>
        <w:t> </w:t>
      </w:r>
      <w:r>
        <w:rPr>
          <w:rStyle w:val="any"/>
          <w:rFonts w:ascii="Times New Roman" w:eastAsia="Times New Roman" w:hAnsi="Times New Roman" w:cs="Times New Roman"/>
          <w:color w:val="000000"/>
          <w:spacing w:val="9"/>
          <w:sz w:val="21"/>
          <w:szCs w:val="21"/>
        </w:rPr>
        <w:t>&amp; </w:t>
      </w:r>
      <w:r>
        <w:rPr>
          <w:rStyle w:val="any"/>
          <w:rFonts w:ascii="PingFang-SC-Regular" w:eastAsia="PingFang-SC-Regular" w:hAnsi="PingFang-SC-Regular" w:cs="PingFang-SC-Regular"/>
          <w:b w:val="0"/>
          <w:bCs w:val="0"/>
          <w:i w:val="0"/>
          <w:iCs w:val="0"/>
          <w:caps w:val="0"/>
          <w:color w:val="C84D0C"/>
          <w:spacing w:val="9"/>
          <w:sz w:val="21"/>
          <w:szCs w:val="21"/>
          <w:shd w:val="clear" w:color="auto" w:fill="FDFDFE"/>
        </w:rPr>
        <w:t>Jun Xu（通讯作者 音译 </w:t>
      </w:r>
      <w:r>
        <w:rPr>
          <w:rStyle w:val="any"/>
          <w:rFonts w:ascii="PingFang-SC-Regular" w:eastAsia="PingFang-SC-Regular" w:hAnsi="PingFang-SC-Regular" w:cs="PingFang-SC-Regular"/>
          <w:b w:val="0"/>
          <w:bCs w:val="0"/>
          <w:i w:val="0"/>
          <w:iCs w:val="0"/>
          <w:caps w:val="0"/>
          <w:color w:val="C84D0C"/>
          <w:spacing w:val="0"/>
          <w:sz w:val="21"/>
          <w:szCs w:val="21"/>
          <w:shd w:val="clear" w:color="auto" w:fill="FDFDFE"/>
        </w:rPr>
        <w:t>徐钧）</w:t>
      </w:r>
      <w:r>
        <w:rPr>
          <w:rStyle w:val="any"/>
          <w:rFonts w:ascii="PingFang-SC-Regular" w:eastAsia="PingFang-SC-Regular" w:hAnsi="PingFang-SC-Regular" w:cs="PingFang-SC-Regular"/>
          <w:b w:val="0"/>
          <w:bCs w:val="0"/>
          <w:i w:val="0"/>
          <w:iCs w:val="0"/>
          <w:caps w:val="0"/>
          <w:color w:val="06071F"/>
          <w:spacing w:val="0"/>
          <w:sz w:val="21"/>
          <w:szCs w:val="21"/>
          <w:shd w:val="clear" w:color="auto" w:fill="FDFDFE"/>
        </w:rPr>
        <w:t>在</w:t>
      </w:r>
      <w:r>
        <w:rPr>
          <w:rStyle w:val="any"/>
          <w:rFonts w:ascii="Times New Roman" w:eastAsia="Times New Roman" w:hAnsi="Times New Roman" w:cs="Times New Roman"/>
          <w:spacing w:val="9"/>
          <w:sz w:val="21"/>
          <w:szCs w:val="21"/>
        </w:rPr>
        <w:t>Immunity Inflammation and Disease</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IF=3.1</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w:t>
      </w:r>
      <w:r>
        <w:rPr>
          <w:rStyle w:val="any"/>
          <w:rFonts w:ascii="Times New Roman" w:eastAsia="Times New Roman" w:hAnsi="Times New Roman" w:cs="Times New Roman"/>
          <w:color w:val="C84D0C"/>
          <w:spacing w:val="9"/>
          <w:sz w:val="21"/>
          <w:szCs w:val="21"/>
        </w:rPr>
        <w:t>lncRNA NEAT1/miR-495-3p regulates angiogenesis in burn sepsis through the TGF-β1 and SMAD signaling pathways"</w:t>
      </w:r>
      <w:r>
        <w:rPr>
          <w:rStyle w:val="any"/>
          <w:rFonts w:ascii="Times New Roman" w:eastAsia="Times New Roman" w:hAnsi="Times New Roman" w:cs="Times New Roman"/>
          <w:spacing w:val="9"/>
          <w:sz w:val="21"/>
          <w:szCs w:val="21"/>
        </w:rPr>
        <w:t>(</w:t>
      </w:r>
      <w:r>
        <w:rPr>
          <w:rStyle w:val="any"/>
          <w:rFonts w:ascii="Times New Roman" w:eastAsia="Times New Roman" w:hAnsi="Times New Roman" w:cs="Times New Roman"/>
          <w:spacing w:val="9"/>
          <w:sz w:val="21"/>
          <w:szCs w:val="21"/>
        </w:rPr>
        <w:t>lncRNA NEAT1/miR-495-3p</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TGF-β1</w:t>
      </w:r>
      <w:r>
        <w:rPr>
          <w:rStyle w:val="any"/>
          <w:rFonts w:ascii="PMingLiU" w:eastAsia="PMingLiU" w:hAnsi="PMingLiU" w:cs="PMingLiU"/>
          <w:spacing w:val="9"/>
          <w:sz w:val="21"/>
          <w:szCs w:val="21"/>
        </w:rPr>
        <w:t>和</w:t>
      </w:r>
      <w:r>
        <w:rPr>
          <w:rStyle w:val="any"/>
          <w:rFonts w:ascii="Times New Roman" w:eastAsia="Times New Roman" w:hAnsi="Times New Roman" w:cs="Times New Roman"/>
          <w:spacing w:val="9"/>
          <w:sz w:val="21"/>
          <w:szCs w:val="21"/>
        </w:rPr>
        <w:t>SMAD</w:t>
      </w:r>
      <w:r>
        <w:rPr>
          <w:rStyle w:val="any"/>
          <w:rFonts w:ascii="PMingLiU" w:eastAsia="PMingLiU" w:hAnsi="PMingLiU" w:cs="PMingLiU"/>
          <w:spacing w:val="9"/>
          <w:sz w:val="21"/>
          <w:szCs w:val="21"/>
        </w:rPr>
        <w:t>信号通路调节烧伤败血症的血管生成</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81531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891421" name=""/>
                    <pic:cNvPicPr>
                      <a:picLocks noChangeAspect="1"/>
                    </pic:cNvPicPr>
                  </pic:nvPicPr>
                  <pic:blipFill>
                    <a:blip xmlns:r="http://schemas.openxmlformats.org/officeDocument/2006/relationships" r:embed="rId8"/>
                    <a:stretch>
                      <a:fillRect/>
                    </a:stretch>
                  </pic:blipFill>
                  <pic:spPr>
                    <a:xfrm>
                      <a:off x="0" y="0"/>
                      <a:ext cx="5486400" cy="48153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p>
    <w:p>
      <w:pPr>
        <w:spacing w:before="0" w:after="0" w:line="378" w:lineRule="atLeast"/>
        <w:ind w:left="315" w:right="315"/>
        <w:jc w:val="center"/>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trike w:val="0"/>
          <w:spacing w:val="9"/>
          <w:sz w:val="21"/>
          <w:szCs w:val="21"/>
          <w:u w:val="none"/>
        </w:rPr>
        <w:drawing>
          <wp:inline>
            <wp:extent cx="5486400" cy="4917186"/>
            <wp:docPr id="100004" name="" descr="山西医科大学第一医院_360百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782068" name=""/>
                    <pic:cNvPicPr>
                      <a:picLocks noChangeAspect="1"/>
                    </pic:cNvPicPr>
                  </pic:nvPicPr>
                  <pic:blipFill>
                    <a:blip xmlns:r="http://schemas.openxmlformats.org/officeDocument/2006/relationships" r:embed="rId9"/>
                    <a:stretch>
                      <a:fillRect/>
                    </a:stretch>
                  </pic:blipFill>
                  <pic:spPr>
                    <a:xfrm>
                      <a:off x="0" y="0"/>
                      <a:ext cx="5486400" cy="491718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Times New Roman" w:eastAsia="Times New Roman" w:hAnsi="Times New Roman" w:cs="Times New Roman"/>
          <w:spacing w:val="9"/>
          <w:sz w:val="21"/>
          <w:szCs w:val="21"/>
        </w:rPr>
      </w:pPr>
      <w:r>
        <w:rPr>
          <w:rStyle w:val="any"/>
          <w:rFonts w:ascii="Times New Roman" w:eastAsia="Times New Roman" w:hAnsi="Times New Roman" w:cs="Times New Roman"/>
          <w:spacing w:val="9"/>
          <w:sz w:val="21"/>
          <w:szCs w:val="21"/>
        </w:rPr>
        <w:t> </w:t>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13326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图4F与早期无关论文不同标注的WB条带重叠，存在图像操纵。</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[left] Fig 4B from "microRNA-195 Promotes Small Cell Lung Cancer Cell Apoptosis via Inhibiting Rap2C Protein-Dependent MAPK Signal Transduction" (Tong et al 2020).</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[right] Fig 4F.</w:t>
      </w: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521178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37363" name=""/>
                    <pic:cNvPicPr>
                      <a:picLocks noChangeAspect="1"/>
                    </pic:cNvPicPr>
                  </pic:nvPicPr>
                  <pic:blipFill>
                    <a:blip xmlns:r="http://schemas.openxmlformats.org/officeDocument/2006/relationships" r:embed="rId10"/>
                    <a:stretch>
                      <a:fillRect/>
                    </a:stretch>
                  </pic:blipFill>
                  <pic:spPr>
                    <a:xfrm>
                      <a:off x="0" y="0"/>
                      <a:ext cx="5486400" cy="521178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1"/>
          <w:szCs w:val="21"/>
        </w:rPr>
        <w:t>Bands are surprisingly similar after a 180-deg flip and rescaling.</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114925" cy="971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40988" name=""/>
                    <pic:cNvPicPr>
                      <a:picLocks noChangeAspect="1"/>
                    </pic:cNvPicPr>
                  </pic:nvPicPr>
                  <pic:blipFill>
                    <a:blip xmlns:r="http://schemas.openxmlformats.org/officeDocument/2006/relationships" r:embed="rId11"/>
                    <a:stretch>
                      <a:fillRect/>
                    </a:stretch>
                  </pic:blipFill>
                  <pic:spPr>
                    <a:xfrm>
                      <a:off x="0" y="0"/>
                      <a:ext cx="5114925" cy="971550"/>
                    </a:xfrm>
                    <a:prstGeom prst="rect">
                      <a:avLst/>
                    </a:prstGeom>
                  </pic:spPr>
                </pic:pic>
              </a:graphicData>
            </a:graphic>
          </wp:inline>
        </w:drawing>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8"/>
          <w:sz w:val="26"/>
          <w:szCs w:val="26"/>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70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于2025年3月21日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上述文章于2023年1月16日在线发表于Wiley Online Library（wileyonlinelibrary.com），现经该刊主编Marc Veldhoen以及John Wiley &amp; Sons Ltd.同意已被撤回。此次撤回的原因是文章的研究方法和结果中发现了科学缺陷和不一致之处。尽管作者提供了一些支持性数据，但这些数据并不充分，问题依然存在。编辑们对本研究中呈现的结果和结论失去了信心。作者不同意此次撤回。</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79838"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https://pubpeer.com/publications/667E5AA5FBE1435497CAD8F2CEF935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https://pubmed.ncbi.nlm.nih.gov/36705405/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color w:val="3E3E3E"/>
          <w:spacing w:val="9"/>
          <w:sz w:val="20"/>
          <w:szCs w:val="20"/>
        </w:rPr>
        <w:t>https://onlinelibrary.wiley.com/doi/10.1002/iid3.70177</w:t>
      </w: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883&amp;idx=1&amp;sn=66fa56c8a56f77d8fd5952e18197476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