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16:17:18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71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微小RNA（miRNA）作为转录后基因表达调控因子发挥作用。一些miRNA，包括最近发现的miR-582-3p，已被证明与白血病的发生有关。本研究旨在揭示miR-582-3p在急性髓系白血病（AML）中的生物学功能，AML是最常见的血液系统恶性肿瘤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12 月 4 日，湖南省儿童医院的Li Haixia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MicroRNA-582-3p negatively regulates cell proliferation and cell cycle progression in acute myeloid leukemia by targeting cyclin B2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miR-582-3p 在 AML 发展中的新功能和机制。进一步研究有望明确 miR-582-3p 和 CCNB2 是否是 AML 治疗的潜在靶点。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此外，2020 年 6 月 9 日，河南省人民医院的Xu Suyan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Cellular &amp; molecular biology letters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Silibinin suppresses epithelial-mesenchymal transition in human non-small cell lung cancer cells by restraining RHBDD1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水飞蓟宾通过抑制 RHBDD1 对 NSCLC 细胞产生抗肿瘤作用。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18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687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362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主编因对本文中所呈现图表的担忧而撤回了该文章。这些担忧使该文章的整体科学性受到质疑。文章发表后进行的调查发现了以下问题：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Cyclin B2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凝胶切片似乎与图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CDK1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Cyclin B1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凝胶切片的部分似乎与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Bad/MCF-7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Bax/T-47D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凝胶切片的部分重叠；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miR-582-3p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模拟细胞实验在旋转后似乎与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shNek7-1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细胞实验重叠。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因此，主编不再对本文所呈现研究的完整性充满信心。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作者尚未回复出版商的来信。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1.Peng X, Yan B, Shen Y. MiR-1301-3p inhibits human breast cancer cell proliferation by regulating cell cycle progression and apoptosis through directly targeting ICT1. Breast Cancer. 2018;25:742–52.https://doi.org/10.1007/s12282-018-0881-5.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2.Zhang J, Wang L, Zhang Y. Downregulation of NIMA-related kinase-7 inhibits cell proliferation by inducing cell cycle arrest in human retinoblastoma cells. Exp Ther Med. 2018;15:1360–6.https://doi.org/10.3892/etm.2017.5558.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https://cmbl.biomedcentral.com/articles/10.1186/s11658-025-00729-3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53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171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561&amp;idx=3&amp;sn=d57edcd1c1baa7682b67938dfbec06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