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学术争议爆发：空军军医大学西京医院某研究团队文章被指图片重叠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09:41:38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77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37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2012 年 4 月 17 日，空军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军医大学西京医院Hu Sheng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Brain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Noninvasive limb remote ischemic preconditioning contributes neuroprotective effects via activation of adenosine A1 receptor and redox status after transient focal cerebral ischemia in rats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被质疑文章内发生图片重叠。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610284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51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1"/>
          <w:szCs w:val="21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8"/>
          <w:sz w:val="21"/>
          <w:szCs w:val="21"/>
        </w:rPr>
        <w:t>文章内发生图片重叠。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962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61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9479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0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https://pubpeer.com/publications/D10897F3E3C83DC9FDA0E73B01A2CE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49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00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67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73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6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9132&amp;idx=1&amp;sn=e290ccbbd5626289602baade1523c9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