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哈尔滨医科大学附属第二医院普外科主任医师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Wang Fujing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（王夫景）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23:44:29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1607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21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Farnesoid X receptor inhibits proliferation of human colorectal cancer cells via the miR?135A1/CCNG2 signaling pathway</w:t>
      </w:r>
      <w:r>
        <w:rPr>
          <w:rStyle w:val="any"/>
          <w:rFonts w:ascii="PMingLiU" w:eastAsia="PMingLiU" w:hAnsi="PMingLiU" w:cs="PMingLiU"/>
          <w:spacing w:val="8"/>
        </w:rPr>
        <w:t>（法尼醇</w:t>
      </w:r>
      <w:r>
        <w:rPr>
          <w:rStyle w:val="any"/>
          <w:rFonts w:ascii="Times New Roman" w:eastAsia="Times New Roman" w:hAnsi="Times New Roman" w:cs="Times New Roman"/>
          <w:spacing w:val="8"/>
        </w:rPr>
        <w:t>X</w:t>
      </w:r>
      <w:r>
        <w:rPr>
          <w:rStyle w:val="any"/>
          <w:rFonts w:ascii="PMingLiU" w:eastAsia="PMingLiU" w:hAnsi="PMingLiU" w:cs="PMingLiU"/>
          <w:spacing w:val="8"/>
        </w:rPr>
        <w:t>受体通过</w:t>
      </w:r>
      <w:r>
        <w:rPr>
          <w:rStyle w:val="any"/>
          <w:rFonts w:ascii="Times New Roman" w:eastAsia="Times New Roman" w:hAnsi="Times New Roman" w:cs="Times New Roman"/>
          <w:spacing w:val="8"/>
        </w:rPr>
        <w:t>miR ? 135A1 / CCNG2</w:t>
      </w:r>
      <w:r>
        <w:rPr>
          <w:rStyle w:val="any"/>
          <w:rFonts w:ascii="PMingLiU" w:eastAsia="PMingLiU" w:hAnsi="PMingLiU" w:cs="PMingLiU"/>
          <w:spacing w:val="8"/>
        </w:rPr>
        <w:t>信号通路抑制人结直肠癌细胞增殖）的论文在《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Oncology reports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10.3892/or.2018.6636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对该论文提出质疑，认为图像重复，要求提供原始照片，作者一直未回复。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712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518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</w:t>
      </w:r>
      <w:r>
        <w:rPr>
          <w:rStyle w:val="any"/>
          <w:rFonts w:ascii="PMingLiU" w:eastAsia="PMingLiU" w:hAnsi="PMingLiU" w:cs="PMingLiU"/>
          <w:spacing w:val="8"/>
        </w:rPr>
        <w:t>对数据整体缺乏信心，于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14</w:t>
      </w:r>
      <w:r>
        <w:rPr>
          <w:rStyle w:val="any"/>
          <w:rFonts w:ascii="PMingLiU" w:eastAsia="PMingLiU" w:hAnsi="PMingLiU" w:cs="PMingLiU"/>
          <w:spacing w:val="8"/>
        </w:rPr>
        <w:t>日撤</w:t>
      </w:r>
      <w:r>
        <w:rPr>
          <w:rStyle w:val="any"/>
          <w:rFonts w:ascii="PMingLiU" w:eastAsia="PMingLiU" w:hAnsi="PMingLiU" w:cs="PMingLiU"/>
          <w:spacing w:val="8"/>
        </w:rPr>
        <w:t>回论文。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0251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936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0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本论文研究内容为：</w:t>
      </w:r>
      <w:r>
        <w:rPr>
          <w:rStyle w:val="any"/>
          <w:rFonts w:ascii="PMingLiU" w:eastAsia="PMingLiU" w:hAnsi="PMingLiU" w:cs="PMingLiU"/>
          <w:spacing w:val="8"/>
        </w:rPr>
        <w:t>结直肠癌（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）是消化系统最常见的恶性肿瘤之一。</w:t>
      </w:r>
      <w:r>
        <w:rPr>
          <w:rStyle w:val="any"/>
          <w:rFonts w:ascii="Times New Roman" w:eastAsia="Times New Roman" w:hAnsi="Times New Roman" w:cs="Times New Roman"/>
          <w:spacing w:val="8"/>
        </w:rPr>
        <w:t>miRNA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Farnesoid X</w:t>
      </w:r>
      <w:r>
        <w:rPr>
          <w:rStyle w:val="any"/>
          <w:rFonts w:ascii="PMingLiU" w:eastAsia="PMingLiU" w:hAnsi="PMingLiU" w:cs="PMingLiU"/>
          <w:spacing w:val="8"/>
        </w:rPr>
        <w:t>受体（</w:t>
      </w:r>
      <w:r>
        <w:rPr>
          <w:rStyle w:val="any"/>
          <w:rFonts w:ascii="Times New Roman" w:eastAsia="Times New Roman" w:hAnsi="Times New Roman" w:cs="Times New Roman"/>
          <w:spacing w:val="8"/>
        </w:rPr>
        <w:t>FXR</w:t>
      </w:r>
      <w:r>
        <w:rPr>
          <w:rStyle w:val="any"/>
          <w:rFonts w:ascii="PMingLiU" w:eastAsia="PMingLiU" w:hAnsi="PMingLiU" w:cs="PMingLiU"/>
          <w:spacing w:val="8"/>
        </w:rPr>
        <w:t>）的失调参与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的进展。在本研究中，评估了</w:t>
      </w:r>
      <w:r>
        <w:rPr>
          <w:rStyle w:val="any"/>
          <w:rFonts w:ascii="Times New Roman" w:eastAsia="Times New Roman" w:hAnsi="Times New Roman" w:cs="Times New Roman"/>
          <w:spacing w:val="8"/>
        </w:rPr>
        <w:t>FXR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中的影响。逆转录定量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- </w:t>
      </w:r>
      <w:r>
        <w:rPr>
          <w:rStyle w:val="any"/>
          <w:rFonts w:ascii="PMingLiU" w:eastAsia="PMingLiU" w:hAnsi="PMingLiU" w:cs="PMingLiU"/>
          <w:spacing w:val="8"/>
        </w:rPr>
        <w:t>聚合酶链反应（</w:t>
      </w:r>
      <w:r>
        <w:rPr>
          <w:rStyle w:val="any"/>
          <w:rFonts w:ascii="Times New Roman" w:eastAsia="Times New Roman" w:hAnsi="Times New Roman" w:cs="Times New Roman"/>
          <w:spacing w:val="8"/>
        </w:rPr>
        <w:t>RT-QPCR</w:t>
      </w:r>
      <w:r>
        <w:rPr>
          <w:rStyle w:val="any"/>
          <w:rFonts w:ascii="PMingLiU" w:eastAsia="PMingLiU" w:hAnsi="PMingLiU" w:cs="PMingLiU"/>
          <w:spacing w:val="8"/>
        </w:rPr>
        <w:t>）用于检查患者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组织和相邻的非肿瘤组织中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的表达以及细胞系。还研究了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患者的临床特征之间的关联。</w:t>
      </w:r>
      <w:r>
        <w:rPr>
          <w:rStyle w:val="any"/>
          <w:rFonts w:ascii="Times New Roman" w:eastAsia="Times New Roman" w:hAnsi="Times New Roman" w:cs="Times New Roman"/>
          <w:spacing w:val="8"/>
        </w:rPr>
        <w:t>RT-QPCR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Western</w:t>
      </w:r>
      <w:r>
        <w:rPr>
          <w:rStyle w:val="any"/>
          <w:rFonts w:ascii="PMingLiU" w:eastAsia="PMingLiU" w:hAnsi="PMingLiU" w:cs="PMingLiU"/>
          <w:spacing w:val="8"/>
        </w:rPr>
        <w:t>印迹用于评估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靶标的表达。使用荧光素酶测定确认了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对细胞周期蛋白</w:t>
      </w:r>
      <w:r>
        <w:rPr>
          <w:rStyle w:val="any"/>
          <w:rFonts w:ascii="Times New Roman" w:eastAsia="Times New Roman" w:hAnsi="Times New Roman" w:cs="Times New Roman"/>
          <w:spacing w:val="8"/>
        </w:rPr>
        <w:t>G2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CCNG2</w:t>
      </w:r>
      <w:r>
        <w:rPr>
          <w:rStyle w:val="any"/>
          <w:rFonts w:ascii="PMingLiU" w:eastAsia="PMingLiU" w:hAnsi="PMingLiU" w:cs="PMingLiU"/>
          <w:spacing w:val="8"/>
        </w:rPr>
        <w:t>）的调节。使用菌落形成测定，流式细胞术和</w:t>
      </w:r>
      <w:r>
        <w:rPr>
          <w:rStyle w:val="any"/>
          <w:rFonts w:ascii="Times New Roman" w:eastAsia="Times New Roman" w:hAnsi="Times New Roman" w:cs="Times New Roman"/>
          <w:spacing w:val="8"/>
        </w:rPr>
        <w:t>CCK-8</w:t>
      </w:r>
      <w:r>
        <w:rPr>
          <w:rStyle w:val="any"/>
          <w:rFonts w:ascii="PMingLiU" w:eastAsia="PMingLiU" w:hAnsi="PMingLiU" w:cs="PMingLiU"/>
          <w:spacing w:val="8"/>
        </w:rPr>
        <w:t>测定法，在转染和未转染的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细胞系中评估了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的生物学作用。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标本和细胞系中上调。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的表达与细胞分化差，碳水化合物抗原（</w:t>
      </w:r>
      <w:r>
        <w:rPr>
          <w:rStyle w:val="any"/>
          <w:rFonts w:ascii="Times New Roman" w:eastAsia="Times New Roman" w:hAnsi="Times New Roman" w:cs="Times New Roman"/>
          <w:spacing w:val="8"/>
        </w:rPr>
        <w:t>CA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125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CA199</w:t>
      </w:r>
      <w:r>
        <w:rPr>
          <w:rStyle w:val="any"/>
          <w:rFonts w:ascii="PMingLiU" w:eastAsia="PMingLiU" w:hAnsi="PMingLiU" w:cs="PMingLiU"/>
          <w:spacing w:val="8"/>
        </w:rPr>
        <w:t>，癌腹乳晶抗原和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患者的存活率的高表达密切相关。</w:t>
      </w:r>
      <w:r>
        <w:rPr>
          <w:rStyle w:val="any"/>
          <w:rFonts w:ascii="Times New Roman" w:eastAsia="Times New Roman" w:hAnsi="Times New Roman" w:cs="Times New Roman"/>
          <w:spacing w:val="8"/>
        </w:rPr>
        <w:t>CCNG2</w:t>
      </w:r>
      <w:r>
        <w:rPr>
          <w:rStyle w:val="any"/>
          <w:rFonts w:ascii="PMingLiU" w:eastAsia="PMingLiU" w:hAnsi="PMingLiU" w:cs="PMingLiU"/>
          <w:spacing w:val="8"/>
        </w:rPr>
        <w:t>的表达在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患者和细胞系中被下调，进一步证明是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的下游靶标。本研究表明，抑制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表达会导致细胞周期停滞和通过增加</w:t>
      </w:r>
      <w:r>
        <w:rPr>
          <w:rStyle w:val="any"/>
          <w:rFonts w:ascii="Times New Roman" w:eastAsia="Times New Roman" w:hAnsi="Times New Roman" w:cs="Times New Roman"/>
          <w:spacing w:val="8"/>
        </w:rPr>
        <w:t>CCNG2</w:t>
      </w:r>
      <w:r>
        <w:rPr>
          <w:rStyle w:val="any"/>
          <w:rFonts w:ascii="PMingLiU" w:eastAsia="PMingLiU" w:hAnsi="PMingLiU" w:cs="PMingLiU"/>
          <w:spacing w:val="8"/>
        </w:rPr>
        <w:t>表达的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细胞增殖。在本研究中，</w:t>
      </w:r>
      <w:r>
        <w:rPr>
          <w:rStyle w:val="any"/>
          <w:rFonts w:ascii="Times New Roman" w:eastAsia="Times New Roman" w:hAnsi="Times New Roman" w:cs="Times New Roman"/>
          <w:spacing w:val="8"/>
        </w:rPr>
        <w:t>GW4064</w:t>
      </w:r>
      <w:r>
        <w:rPr>
          <w:rStyle w:val="any"/>
          <w:rFonts w:ascii="PMingLiU" w:eastAsia="PMingLiU" w:hAnsi="PMingLiU" w:cs="PMingLiU"/>
          <w:spacing w:val="8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表达增加了</w:t>
      </w:r>
      <w:r>
        <w:rPr>
          <w:rStyle w:val="any"/>
          <w:rFonts w:ascii="Times New Roman" w:eastAsia="Times New Roman" w:hAnsi="Times New Roman" w:cs="Times New Roman"/>
          <w:spacing w:val="8"/>
        </w:rPr>
        <w:t>FXR</w:t>
      </w:r>
      <w:r>
        <w:rPr>
          <w:rStyle w:val="any"/>
          <w:rFonts w:ascii="PMingLiU" w:eastAsia="PMingLiU" w:hAnsi="PMingLiU" w:cs="PMingLiU"/>
          <w:spacing w:val="8"/>
        </w:rPr>
        <w:t>的激活增加了</w:t>
      </w:r>
      <w:r>
        <w:rPr>
          <w:rStyle w:val="any"/>
          <w:rFonts w:ascii="Times New Roman" w:eastAsia="Times New Roman" w:hAnsi="Times New Roman" w:cs="Times New Roman"/>
          <w:spacing w:val="8"/>
        </w:rPr>
        <w:t>CCNG2</w:t>
      </w:r>
      <w:r>
        <w:rPr>
          <w:rStyle w:val="any"/>
          <w:rFonts w:ascii="PMingLiU" w:eastAsia="PMingLiU" w:hAnsi="PMingLiU" w:cs="PMingLiU"/>
          <w:spacing w:val="8"/>
        </w:rPr>
        <w:t>的表达，并且证明</w:t>
      </w:r>
      <w:r>
        <w:rPr>
          <w:rStyle w:val="any"/>
          <w:rFonts w:ascii="Times New Roman" w:eastAsia="Times New Roman" w:hAnsi="Times New Roman" w:cs="Times New Roman"/>
          <w:spacing w:val="8"/>
        </w:rPr>
        <w:t>FXR/miR-135a1/ccng2</w:t>
      </w:r>
      <w:r>
        <w:rPr>
          <w:rStyle w:val="any"/>
          <w:rFonts w:ascii="PMingLiU" w:eastAsia="PMingLiU" w:hAnsi="PMingLiU" w:cs="PMingLiU"/>
          <w:spacing w:val="8"/>
        </w:rPr>
        <w:t>轴均参与介导细胞增殖。总之，</w:t>
      </w:r>
      <w:r>
        <w:rPr>
          <w:rStyle w:val="any"/>
          <w:rFonts w:ascii="Times New Roman" w:eastAsia="Times New Roman" w:hAnsi="Times New Roman" w:cs="Times New Roman"/>
          <w:spacing w:val="8"/>
        </w:rPr>
        <w:t>GW4064</w:t>
      </w:r>
      <w:r>
        <w:rPr>
          <w:rStyle w:val="any"/>
          <w:rFonts w:ascii="PMingLiU" w:eastAsia="PMingLiU" w:hAnsi="PMingLiU" w:cs="PMingLiU"/>
          <w:spacing w:val="8"/>
        </w:rPr>
        <w:t>激活</w:t>
      </w:r>
      <w:r>
        <w:rPr>
          <w:rStyle w:val="any"/>
          <w:rFonts w:ascii="Times New Roman" w:eastAsia="Times New Roman" w:hAnsi="Times New Roman" w:cs="Times New Roman"/>
          <w:spacing w:val="8"/>
        </w:rPr>
        <w:t>FXR</w:t>
      </w:r>
      <w:r>
        <w:rPr>
          <w:rStyle w:val="any"/>
          <w:rFonts w:ascii="PMingLiU" w:eastAsia="PMingLiU" w:hAnsi="PMingLiU" w:cs="PMingLiU"/>
          <w:spacing w:val="8"/>
        </w:rPr>
        <w:t>会抑制细胞增殖并导致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中的细胞周期停滞，并建议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MIR-135A1/CCNG2</w:t>
      </w:r>
      <w:r>
        <w:rPr>
          <w:rStyle w:val="any"/>
          <w:rFonts w:ascii="PMingLiU" w:eastAsia="PMingLiU" w:hAnsi="PMingLiU" w:cs="PMingLiU"/>
          <w:spacing w:val="8"/>
        </w:rPr>
        <w:t>途径参与此步骤。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4222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7016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4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省级高校基本科研业务费专项资金</w:t>
      </w:r>
      <w:r>
        <w:rPr>
          <w:rStyle w:val="any"/>
          <w:rFonts w:ascii="Times New Roman" w:eastAsia="Times New Roman" w:hAnsi="Times New Roman" w:cs="Times New Roman"/>
          <w:spacing w:val="8"/>
        </w:rPr>
        <w:t>[2017LCZX52]</w:t>
      </w:r>
      <w:r>
        <w:rPr>
          <w:rStyle w:val="any"/>
          <w:rFonts w:ascii="PMingLiU" w:eastAsia="PMingLiU" w:hAnsi="PMingLiU" w:cs="PMingLiU"/>
          <w:spacing w:val="8"/>
        </w:rPr>
        <w:t>；哈尔滨市科技攻关专项资金（</w:t>
      </w: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[0704008008]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Wang Fujing</w:t>
      </w:r>
      <w:r>
        <w:rPr>
          <w:rStyle w:val="any"/>
          <w:rFonts w:ascii="PMingLiU" w:eastAsia="PMingLiU" w:hAnsi="PMingLiU" w:cs="PMingLiU"/>
          <w:spacing w:val="8"/>
        </w:rPr>
        <w:t>（王</w:t>
      </w:r>
      <w:r>
        <w:rPr>
          <w:rStyle w:val="any"/>
          <w:rFonts w:ascii="PMingLiU" w:eastAsia="PMingLiU" w:hAnsi="PMingLiU" w:cs="PMingLiU"/>
          <w:spacing w:val="8"/>
        </w:rPr>
        <w:t>夫景），疑为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哈尔滨医科大学附属第二医院普外科主任医师，</w:t>
      </w:r>
      <w:r>
        <w:rPr>
          <w:rStyle w:val="any"/>
          <w:rFonts w:ascii="PMingLiU" w:eastAsia="PMingLiU" w:hAnsi="PMingLiU" w:cs="PMingLiU"/>
          <w:spacing w:val="8"/>
        </w:rPr>
        <w:t>教授、医学博士、博士研究生导师。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</w:rPr>
        <w:t>https://pubpeer.com/publications/F3823F2D31A61B1D9A38D33064D305#0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</w:rPr>
        <w:t>https://www.spandidos-publications.com/10.3892/or.2018.6636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809&amp;idx=5&amp;sn=bff19bb0a2707a1c43795be55740f0e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