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（音译：田金虎）团队论文现被质疑噪声图像重复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65504"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70430"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3379"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（音译：田金虎），疑为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