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STTT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17:28:53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72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444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2022年10月，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中国医学科学院肿瘤医院分子肿瘤学国家重点实验室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北京大学肿瘤医院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Signal Transduction and Targeted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Dysregulated ceramides metabolism by fatty acid 2-hydroxylase exposes a metabolic vulnerability to target cancer metastasis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脂肪酸 2- 羟化酶对神经酰胺代谢的失调暴露了靶向癌症转移的代谢弱点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本研究得到国家重点研发计划（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2021YFC2501000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2020YFA0803300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82030089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82188102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）、中国医学科学院创新基金（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2021-1-I2M-018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2021-I2M-1-067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2021M700007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）、深圳市医学三明工程（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No. SZSM201812062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）、广东省基础与应用基础研究基金（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2019B030302012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doi: 10.1038/s41392-022-01199-1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中国医学科学院肿瘤医院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Xuantong Zhou 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Furong Huang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中国医学科学院肿瘤医院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Zhihua Liu 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（音译：刘芝华）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北京大学肿瘤医院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Nan Wu 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（音译：吴楠）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726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66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 Monticolaria manyara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6g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transwell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实验结果显示，在不同浓度药物作用下，相邻两张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transwell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图像明显重复使用同一图像的不同位置，这是在不同实验条件下的实验结果。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725805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081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慧眼学术查重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582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86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https://pubpeer.com/publications/84C82AD45DAC7F72CE7CC9E8DAE0D9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2611&amp;idx=1&amp;sn=4492f51fdef9437d55cccb06711634d1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774&amp;idx=2&amp;sn=3eb54be8b4a11e3ce5c2de4cc7e4b1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