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南方医院梁莉团队高影响力期刊论文图像被指存在图片重复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2025-04-23 12:22:29</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近日，发表在国际知名医学期刊《</w:t>
      </w:r>
      <w:r>
        <w:rPr>
          <w:rStyle w:val="any"/>
          <w:rFonts w:ascii="Times New Roman" w:eastAsia="Times New Roman" w:hAnsi="Times New Roman" w:cs="Times New Roman"/>
          <w:spacing w:val="8"/>
        </w:rPr>
        <w:t>BMC Medicine</w:t>
      </w:r>
      <w:r>
        <w:rPr>
          <w:rStyle w:val="any"/>
          <w:rFonts w:ascii="PMingLiU" w:eastAsia="PMingLiU" w:hAnsi="PMingLiU" w:cs="PMingLiU"/>
          <w:spacing w:val="8"/>
        </w:rPr>
        <w:t>》上的一项关于结直肠癌放疗耐受机制的重要研究被指出存在潜在图像重复问题，引发学术界关注。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该论文题为</w:t>
      </w:r>
      <w:r>
        <w:rPr>
          <w:rStyle w:val="any"/>
          <w:rFonts w:ascii="Times New Roman" w:eastAsia="Times New Roman" w:hAnsi="Times New Roman" w:cs="Times New Roman"/>
          <w:spacing w:val="8"/>
        </w:rPr>
        <w:t xml:space="preserve"> "PREX2 contributes to radiation resistance by inhibiting radiotherapy-induced tumor immunogenicity via cGAS/STING/IFNs pathway in colorectal cancer"</w:t>
      </w:r>
      <w:r>
        <w:rPr>
          <w:rStyle w:val="any"/>
          <w:rFonts w:ascii="PMingLiU" w:eastAsia="PMingLiU" w:hAnsi="PMingLiU" w:cs="PMingLiU"/>
          <w:spacing w:val="8"/>
        </w:rPr>
        <w:t>，由</w:t>
      </w:r>
      <w:r>
        <w:rPr>
          <w:rStyle w:val="any"/>
          <w:rFonts w:ascii="Times New Roman" w:eastAsia="Times New Roman" w:hAnsi="Times New Roman" w:cs="Times New Roman"/>
          <w:spacing w:val="8"/>
        </w:rPr>
        <w:t>Mingzhou Li</w:t>
      </w:r>
      <w:r>
        <w:rPr>
          <w:rStyle w:val="any"/>
          <w:rFonts w:ascii="PMingLiU" w:eastAsia="PMingLiU" w:hAnsi="PMingLiU" w:cs="PMingLiU"/>
          <w:spacing w:val="8"/>
        </w:rPr>
        <w:t>、</w:t>
      </w:r>
      <w:r>
        <w:rPr>
          <w:rStyle w:val="any"/>
          <w:rFonts w:ascii="Times New Roman" w:eastAsia="Times New Roman" w:hAnsi="Times New Roman" w:cs="Times New Roman"/>
          <w:spacing w:val="8"/>
        </w:rPr>
        <w:t>Jianbiao Xiao</w:t>
      </w:r>
      <w:r>
        <w:rPr>
          <w:rStyle w:val="any"/>
          <w:rFonts w:ascii="PMingLiU" w:eastAsia="PMingLiU" w:hAnsi="PMingLiU" w:cs="PMingLiU"/>
          <w:spacing w:val="8"/>
        </w:rPr>
        <w:t>、</w:t>
      </w:r>
      <w:r>
        <w:rPr>
          <w:rStyle w:val="any"/>
          <w:rFonts w:ascii="Times New Roman" w:eastAsia="Times New Roman" w:hAnsi="Times New Roman" w:cs="Times New Roman"/>
          <w:spacing w:val="8"/>
        </w:rPr>
        <w:t>Shasha Song</w:t>
      </w:r>
      <w:r>
        <w:rPr>
          <w:rStyle w:val="any"/>
          <w:rFonts w:ascii="PMingLiU" w:eastAsia="PMingLiU" w:hAnsi="PMingLiU" w:cs="PMingLiU"/>
          <w:spacing w:val="8"/>
        </w:rPr>
        <w:t>、</w:t>
      </w:r>
      <w:r>
        <w:rPr>
          <w:rStyle w:val="any"/>
          <w:rFonts w:ascii="Times New Roman" w:eastAsia="Times New Roman" w:hAnsi="Times New Roman" w:cs="Times New Roman"/>
          <w:spacing w:val="8"/>
        </w:rPr>
        <w:t>Fangyi Han</w:t>
      </w:r>
      <w:r>
        <w:rPr>
          <w:rStyle w:val="any"/>
          <w:rFonts w:ascii="PMingLiU" w:eastAsia="PMingLiU" w:hAnsi="PMingLiU" w:cs="PMingLiU"/>
          <w:spacing w:val="8"/>
        </w:rPr>
        <w:t>等作为共同第一作者，通讯作者为</w:t>
      </w:r>
      <w:r>
        <w:rPr>
          <w:rStyle w:val="any"/>
          <w:rFonts w:ascii="Times New Roman" w:eastAsia="Times New Roman" w:hAnsi="Times New Roman" w:cs="Times New Roman"/>
          <w:spacing w:val="8"/>
        </w:rPr>
        <w:t>Li Liang</w:t>
      </w:r>
      <w:r>
        <w:rPr>
          <w:rStyle w:val="any"/>
          <w:rFonts w:ascii="PMingLiU" w:eastAsia="PMingLiU" w:hAnsi="PMingLiU" w:cs="PMingLiU"/>
          <w:spacing w:val="8"/>
        </w:rPr>
        <w:t>，来自南方医科大学南方医院。论文发表于《</w:t>
      </w:r>
      <w:r>
        <w:rPr>
          <w:rStyle w:val="any"/>
          <w:rFonts w:ascii="Times New Roman" w:eastAsia="Times New Roman" w:hAnsi="Times New Roman" w:cs="Times New Roman"/>
          <w:spacing w:val="8"/>
        </w:rPr>
        <w:t>BMC Medicine</w:t>
      </w:r>
      <w:r>
        <w:rPr>
          <w:rStyle w:val="any"/>
          <w:rFonts w:ascii="PMingLiU" w:eastAsia="PMingLiU" w:hAnsi="PMingLiU" w:cs="PMingLiU"/>
          <w:spacing w:val="8"/>
        </w:rPr>
        <w:t>》</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22</w:t>
      </w:r>
      <w:r>
        <w:rPr>
          <w:rStyle w:val="any"/>
          <w:rFonts w:ascii="PMingLiU" w:eastAsia="PMingLiU" w:hAnsi="PMingLiU" w:cs="PMingLiU"/>
          <w:spacing w:val="8"/>
        </w:rPr>
        <w:t>卷第</w:t>
      </w:r>
      <w:r>
        <w:rPr>
          <w:rStyle w:val="any"/>
          <w:rFonts w:ascii="Times New Roman" w:eastAsia="Times New Roman" w:hAnsi="Times New Roman" w:cs="Times New Roman"/>
          <w:spacing w:val="8"/>
        </w:rPr>
        <w:t>154</w:t>
      </w:r>
      <w:r>
        <w:rPr>
          <w:rStyle w:val="any"/>
          <w:rFonts w:ascii="PMingLiU" w:eastAsia="PMingLiU" w:hAnsi="PMingLiU" w:cs="PMingLiU"/>
          <w:spacing w:val="8"/>
        </w:rPr>
        <w:t>篇，影响因子为</w:t>
      </w:r>
      <w:r>
        <w:rPr>
          <w:rStyle w:val="any"/>
          <w:rFonts w:ascii="Times New Roman" w:eastAsia="Times New Roman" w:hAnsi="Times New Roman" w:cs="Times New Roman"/>
          <w:spacing w:val="8"/>
        </w:rPr>
        <w:t>11.8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在该研究的图</w:t>
      </w:r>
      <w:r>
        <w:rPr>
          <w:rStyle w:val="any"/>
          <w:rFonts w:ascii="Times New Roman" w:eastAsia="Times New Roman" w:hAnsi="Times New Roman" w:cs="Times New Roman"/>
          <w:spacing w:val="8"/>
        </w:rPr>
        <w:t>5F</w:t>
      </w:r>
      <w:r>
        <w:rPr>
          <w:rStyle w:val="any"/>
          <w:rFonts w:ascii="PMingLiU" w:eastAsia="PMingLiU" w:hAnsi="PMingLiU" w:cs="PMingLiU"/>
          <w:spacing w:val="8"/>
        </w:rPr>
        <w:t>与图</w:t>
      </w:r>
      <w:r>
        <w:rPr>
          <w:rStyle w:val="any"/>
          <w:rFonts w:ascii="Times New Roman" w:eastAsia="Times New Roman" w:hAnsi="Times New Roman" w:cs="Times New Roman"/>
          <w:spacing w:val="8"/>
        </w:rPr>
        <w:t>5G</w:t>
      </w:r>
      <w:r>
        <w:rPr>
          <w:rStyle w:val="any"/>
          <w:rFonts w:ascii="PMingLiU" w:eastAsia="PMingLiU" w:hAnsi="PMingLiU" w:cs="PMingLiU"/>
          <w:spacing w:val="8"/>
        </w:rPr>
        <w:t>中，涉及免疫信号通路相关蛋白的</w:t>
      </w:r>
      <w:r>
        <w:rPr>
          <w:rStyle w:val="any"/>
          <w:rFonts w:ascii="Times New Roman" w:eastAsia="Times New Roman" w:hAnsi="Times New Roman" w:cs="Times New Roman"/>
          <w:spacing w:val="8"/>
        </w:rPr>
        <w:t>Western blot</w:t>
      </w:r>
      <w:r>
        <w:rPr>
          <w:rStyle w:val="any"/>
          <w:rFonts w:ascii="PMingLiU" w:eastAsia="PMingLiU" w:hAnsi="PMingLiU" w:cs="PMingLiU"/>
          <w:spacing w:val="8"/>
        </w:rPr>
        <w:t>（</w:t>
      </w:r>
      <w:r>
        <w:rPr>
          <w:rStyle w:val="any"/>
          <w:rFonts w:ascii="Times New Roman" w:eastAsia="Times New Roman" w:hAnsi="Times New Roman" w:cs="Times New Roman"/>
          <w:spacing w:val="8"/>
        </w:rPr>
        <w:t>WB</w:t>
      </w:r>
      <w:r>
        <w:rPr>
          <w:rStyle w:val="any"/>
          <w:rFonts w:ascii="PMingLiU" w:eastAsia="PMingLiU" w:hAnsi="PMingLiU" w:cs="PMingLiU"/>
          <w:spacing w:val="8"/>
        </w:rPr>
        <w:t>）图像中，</w:t>
      </w:r>
      <w:r>
        <w:rPr>
          <w:rStyle w:val="any"/>
          <w:rFonts w:ascii="Times New Roman" w:eastAsia="Times New Roman" w:hAnsi="Times New Roman" w:cs="Times New Roman"/>
          <w:spacing w:val="8"/>
        </w:rPr>
        <w:t>IRF3</w:t>
      </w:r>
      <w:r>
        <w:rPr>
          <w:rStyle w:val="any"/>
          <w:rFonts w:ascii="PMingLiU" w:eastAsia="PMingLiU" w:hAnsi="PMingLiU" w:cs="PMingLiU"/>
          <w:spacing w:val="8"/>
        </w:rPr>
        <w:t>的磷酸化形式（</w:t>
      </w:r>
      <w:r>
        <w:rPr>
          <w:rStyle w:val="any"/>
          <w:rFonts w:ascii="Times New Roman" w:eastAsia="Times New Roman" w:hAnsi="Times New Roman" w:cs="Times New Roman"/>
          <w:spacing w:val="8"/>
        </w:rPr>
        <w:t>p-IRF3</w:t>
      </w:r>
      <w:r>
        <w:rPr>
          <w:rStyle w:val="any"/>
          <w:rFonts w:ascii="PMingLiU" w:eastAsia="PMingLiU" w:hAnsi="PMingLiU" w:cs="PMingLiU"/>
          <w:spacing w:val="8"/>
        </w:rPr>
        <w:t>）和总</w:t>
      </w:r>
      <w:r>
        <w:rPr>
          <w:rStyle w:val="any"/>
          <w:rFonts w:ascii="Times New Roman" w:eastAsia="Times New Roman" w:hAnsi="Times New Roman" w:cs="Times New Roman"/>
          <w:spacing w:val="8"/>
        </w:rPr>
        <w:t>IRF3</w:t>
      </w:r>
      <w:r>
        <w:rPr>
          <w:rStyle w:val="any"/>
          <w:rFonts w:ascii="PMingLiU" w:eastAsia="PMingLiU" w:hAnsi="PMingLiU" w:cs="PMingLiU"/>
          <w:spacing w:val="8"/>
        </w:rPr>
        <w:t>条带在不同实验组之间存在视觉上一致的重复现象。尤其是</w:t>
      </w:r>
      <w:r>
        <w:rPr>
          <w:rStyle w:val="any"/>
          <w:rFonts w:ascii="Times New Roman" w:eastAsia="Times New Roman" w:hAnsi="Times New Roman" w:cs="Times New Roman"/>
          <w:spacing w:val="8"/>
        </w:rPr>
        <w:t>SW480</w:t>
      </w:r>
      <w:r>
        <w:rPr>
          <w:rStyle w:val="any"/>
          <w:rFonts w:ascii="PMingLiU" w:eastAsia="PMingLiU" w:hAnsi="PMingLiU" w:cs="PMingLiU"/>
          <w:spacing w:val="8"/>
        </w:rPr>
        <w:t>和</w:t>
      </w:r>
      <w:r>
        <w:rPr>
          <w:rStyle w:val="any"/>
          <w:rFonts w:ascii="Times New Roman" w:eastAsia="Times New Roman" w:hAnsi="Times New Roman" w:cs="Times New Roman"/>
          <w:spacing w:val="8"/>
        </w:rPr>
        <w:t>RKO(4Gy)</w:t>
      </w:r>
      <w:r>
        <w:rPr>
          <w:rStyle w:val="any"/>
          <w:rFonts w:ascii="PMingLiU" w:eastAsia="PMingLiU" w:hAnsi="PMingLiU" w:cs="PMingLiU"/>
          <w:spacing w:val="8"/>
        </w:rPr>
        <w:t>实验组的</w:t>
      </w:r>
      <w:r>
        <w:rPr>
          <w:rStyle w:val="any"/>
          <w:rFonts w:ascii="Times New Roman" w:eastAsia="Times New Roman" w:hAnsi="Times New Roman" w:cs="Times New Roman"/>
          <w:spacing w:val="8"/>
        </w:rPr>
        <w:t>p-IRF3</w:t>
      </w:r>
      <w:r>
        <w:rPr>
          <w:rStyle w:val="any"/>
          <w:rFonts w:ascii="PMingLiU" w:eastAsia="PMingLiU" w:hAnsi="PMingLiU" w:cs="PMingLiU"/>
          <w:spacing w:val="8"/>
        </w:rPr>
        <w:t>与</w:t>
      </w:r>
      <w:r>
        <w:rPr>
          <w:rStyle w:val="any"/>
          <w:rFonts w:ascii="Times New Roman" w:eastAsia="Times New Roman" w:hAnsi="Times New Roman" w:cs="Times New Roman"/>
          <w:spacing w:val="8"/>
        </w:rPr>
        <w:t>IRF3</w:t>
      </w:r>
      <w:r>
        <w:rPr>
          <w:rStyle w:val="any"/>
          <w:rFonts w:ascii="PMingLiU" w:eastAsia="PMingLiU" w:hAnsi="PMingLiU" w:cs="PMingLiU"/>
          <w:spacing w:val="8"/>
        </w:rPr>
        <w:t>条带出现高度相似的条带排列和形态，引发图像完整性方面的担忧。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965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847856" name=""/>
                    <pic:cNvPicPr>
                      <a:picLocks noChangeAspect="1"/>
                    </pic:cNvPicPr>
                  </pic:nvPicPr>
                  <pic:blipFill>
                    <a:blip xmlns:r="http://schemas.openxmlformats.org/officeDocument/2006/relationships" r:embed="rId6"/>
                    <a:stretch>
                      <a:fillRect/>
                    </a:stretch>
                  </pic:blipFill>
                  <pic:spPr>
                    <a:xfrm>
                      <a:off x="0" y="0"/>
                      <a:ext cx="5486400" cy="2496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据悉，该研究获得了国家重点研发计划（编号：</w:t>
      </w:r>
      <w:r>
        <w:rPr>
          <w:rStyle w:val="any"/>
          <w:rFonts w:ascii="Times New Roman" w:eastAsia="Times New Roman" w:hAnsi="Times New Roman" w:cs="Times New Roman"/>
          <w:spacing w:val="8"/>
        </w:rPr>
        <w:t>2021YFF1201004</w:t>
      </w:r>
      <w:r>
        <w:rPr>
          <w:rStyle w:val="any"/>
          <w:rFonts w:ascii="PMingLiU" w:eastAsia="PMingLiU" w:hAnsi="PMingLiU" w:cs="PMingLiU"/>
          <w:spacing w:val="8"/>
        </w:rPr>
        <w:t>）、国家自然科学基金（编号：</w:t>
      </w:r>
      <w:r>
        <w:rPr>
          <w:rStyle w:val="any"/>
          <w:rFonts w:ascii="Times New Roman" w:eastAsia="Times New Roman" w:hAnsi="Times New Roman" w:cs="Times New Roman"/>
          <w:spacing w:val="8"/>
        </w:rPr>
        <w:t>82273358, 82003059, 81872041</w:t>
      </w:r>
      <w:r>
        <w:rPr>
          <w:rStyle w:val="any"/>
          <w:rFonts w:ascii="PMingLiU" w:eastAsia="PMingLiU" w:hAnsi="PMingLiU" w:cs="PMingLiU"/>
          <w:spacing w:val="8"/>
        </w:rPr>
        <w:t>）及广州市基础研究项目（编号：</w:t>
      </w:r>
      <w:r>
        <w:rPr>
          <w:rStyle w:val="any"/>
          <w:rFonts w:ascii="Times New Roman" w:eastAsia="Times New Roman" w:hAnsi="Times New Roman" w:cs="Times New Roman"/>
          <w:spacing w:val="8"/>
        </w:rPr>
        <w:t>2023A04J2383</w:t>
      </w:r>
      <w:r>
        <w:rPr>
          <w:rStyle w:val="any"/>
          <w:rFonts w:ascii="PMingLiU" w:eastAsia="PMingLiU" w:hAnsi="PMingLiU" w:cs="PMingLiU"/>
          <w:spacing w:val="8"/>
        </w:rPr>
        <w:t>）资助。由于其提出</w:t>
      </w:r>
      <w:r>
        <w:rPr>
          <w:rStyle w:val="any"/>
          <w:rFonts w:ascii="Times New Roman" w:eastAsia="Times New Roman" w:hAnsi="Times New Roman" w:cs="Times New Roman"/>
          <w:spacing w:val="8"/>
        </w:rPr>
        <w:t>PREX2</w:t>
      </w:r>
      <w:r>
        <w:rPr>
          <w:rStyle w:val="any"/>
          <w:rFonts w:ascii="PMingLiU" w:eastAsia="PMingLiU" w:hAnsi="PMingLiU" w:cs="PMingLiU"/>
          <w:spacing w:val="8"/>
        </w:rPr>
        <w:t>作为潜在放疗耐药标志物和靶向治疗策略，该研究对结直肠癌精准治疗具有重大意义。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目前，学术界和期刊方面尚未就此图像问题作出公开回应。若后续证实存在数据处理不当，可能对相关结论的可信度构成影响。我们将持续关注此事件进展。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参考资料</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Li M, Xiao J, Song S, Han F, Liu H, Lin Y, et al. PREX2 contributes to radiation resistance by inhibiting radiotherapy-induced tumor immunogenicity via cGAS/STING/IFNs pathway in colorectal cancer. BMC Medicine. 2024;22:154. doi: 10.1186/s12916-024-03375-2</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南方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066&amp;idx=1&amp;sn=56cc85a0085eb88df06e722c98dc1bd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486744486544310278"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