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UCLA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大子刊《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Biomedical Engineering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12:07:41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美国加州大学洛杉矶分校（</w:t>
      </w:r>
      <w:r>
        <w:rPr>
          <w:rStyle w:val="any"/>
          <w:color w:val="000000"/>
          <w:spacing w:val="8"/>
          <w:lang w:val="en-US" w:eastAsia="en-US"/>
        </w:rPr>
        <w:t>UCLA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）生物工程系在期刊</w:t>
      </w:r>
      <w:r>
        <w:rPr>
          <w:rStyle w:val="any"/>
          <w:color w:val="000000"/>
          <w:spacing w:val="8"/>
          <w:lang w:val="en-US" w:eastAsia="en-US"/>
        </w:rPr>
        <w:t>Nature Biomedical Engineering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上发表一篇研究论文，研究发现了粘弹性合成抗原提呈细胞增强癌症治疗效力。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Viscoelastic synthetic antigen-presenting cells for augmenting the potency of cancer therapies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Zeyang Liu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（第一作者，音译，刘泽阳）</w:t>
      </w:r>
      <w:r>
        <w:rPr>
          <w:rStyle w:val="any"/>
          <w:color w:val="000000"/>
          <w:spacing w:val="8"/>
          <w:lang w:val="en-US" w:eastAsia="en-US"/>
        </w:rPr>
        <w:t>, Yan-Ruide Li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（共同第一作者，音译，李闫瑞德）</w:t>
      </w:r>
      <w:r>
        <w:rPr>
          <w:rStyle w:val="any"/>
          <w:color w:val="000000"/>
          <w:spacing w:val="8"/>
          <w:lang w:val="en-US" w:eastAsia="en-US"/>
        </w:rPr>
        <w:t>, Youcheng Yang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（共同第一作者，音译，杨有成）</w:t>
      </w:r>
      <w:r>
        <w:rPr>
          <w:rStyle w:val="any"/>
          <w:color w:val="000000"/>
          <w:spacing w:val="8"/>
          <w:lang w:val="en-US" w:eastAsia="en-US"/>
        </w:rPr>
        <w:t>, Yu Zhu , Weihao Yuan , Tyler Hoffman , Yifan Wu , Enbo Zhu , Jana Zarubova , Jun Shen , Haochen Nan , Kun-Wei Yeh , Mohammad Mahdi Hasani-Sadrabadi , Yichen Zhu , Ying Fang , Xinyang Ge , Zhizhong Li , Jennifer Soto , Tzung Hsiai , Lili Yang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（通讯作者，音译，杨莉莉）</w:t>
      </w:r>
      <w:r>
        <w:rPr>
          <w:rStyle w:val="any"/>
          <w:color w:val="000000"/>
          <w:spacing w:val="8"/>
          <w:lang w:val="en-US" w:eastAsia="en-US"/>
        </w:rPr>
        <w:t>, Song Li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（通讯作者，音译，李松）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美国加州大学洛杉矶分校（</w:t>
      </w:r>
      <w:r>
        <w:rPr>
          <w:rStyle w:val="any"/>
          <w:b/>
          <w:bCs/>
          <w:spacing w:val="8"/>
          <w:lang w:val="en-US" w:eastAsia="en-US"/>
        </w:rPr>
        <w:t>UCLA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）生物工程系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0099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48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Trigonopterus irregularis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819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9471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同一张图片用于不同的日期结果。如何将装有缓冲液的培养皿或培养箱在显微镜下放置</w:t>
      </w:r>
      <w:r>
        <w:rPr>
          <w:rStyle w:val="any"/>
          <w:spacing w:val="8"/>
          <w:lang w:val="en-US" w:eastAsia="en-US"/>
        </w:rPr>
        <w:t>15</w:t>
      </w:r>
      <w:r>
        <w:rPr>
          <w:rStyle w:val="any"/>
          <w:rFonts w:ascii="PMingLiU" w:eastAsia="PMingLiU" w:hAnsi="PMingLiU" w:cs="PMingLiU"/>
          <w:spacing w:val="8"/>
        </w:rPr>
        <w:t>天，并保持相同的视野。如果是这样，如何解释第</w:t>
      </w:r>
      <w:r>
        <w:rPr>
          <w:rStyle w:val="any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天的不同和第</w:t>
      </w:r>
      <w:r>
        <w:rPr>
          <w:rStyle w:val="any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天的翻转？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https://pubpeer.org/publications/E380A42D23C4BE8F9DA6751B1BACCC#0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433&amp;idx=1&amp;sn=9d3feeab876b2b8778d9e5a6422a0c9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