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图像雷同，背景一致？江南大学无锡医学院和药学院合作研究遭质疑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206" w:line="429" w:lineRule="atLeast"/>
        <w:ind w:left="300" w:right="300" w:firstLine="4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International Journal of Biological Macromolecules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‘Highly regio- and enantio-selective hydrolysis of two racemic epoxides by GmEH3, a novel epoxide hydrolase from Glycine max’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大豆新型环氧化物水解酶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GmEH3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对两种外消旋环氧化物的高区域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/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立体选择性水解作用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10.1016/j.ijbiomac.2020.08.011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）的研究陷入数据争议。该研究由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 , Chuang Li , Xiu-xiu Zhu , You-yi Liu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单位为江南大学无锡医学院，通讯作者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单位为无锡市妇幼保健院，第一作者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江南大学药学院。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576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64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120" w:line="429" w:lineRule="atLeast"/>
        <w:ind w:left="300" w:right="30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4040"/>
          <w:spacing w:val="9"/>
          <w:sz w:val="26"/>
          <w:szCs w:val="26"/>
        </w:rPr>
        <w:t>Archasia belfragei指出：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中的凝胶图像在两条泳道之间有一些相当不寻常的相似之处：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89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两条泳道之间的部分背景也完全相同。作者能否提供一张未裁剪的凝胶图像？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更多相似之处：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5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43075" cy="1750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6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江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1212918981086413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5&amp;sn=bd807ee5dcf07248242ef495a3f4ae0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