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284152"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31143"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85983"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270668"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111140"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36585"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