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浙江大学医学院邵逸夫医院和美国希望之城国家医疗中心学者论文图片重复被质疑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2025-04-22 20:17:04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Liangkun You , Jiawei Shou , Danchen Deng , Liming Jiang , Zhao Jing , Junlin Yao , Hongsen Li , Jiansheng Xie , Zhanggui Wang , Qin Pan , Hongming Pan , Wendong Huang , Weidong Han</w:t>
      </w:r>
      <w:r>
        <w:rPr>
          <w:rStyle w:val="any"/>
          <w:rFonts w:ascii="PMingLiU" w:eastAsia="PMingLiU" w:hAnsi="PMingLiU" w:cs="PMingLiU"/>
          <w:b w:val="0"/>
          <w:bCs w:val="0"/>
          <w:i w:val="0"/>
          <w:iCs w:val="0"/>
          <w:color w:val="3E3E3E"/>
          <w:spacing w:val="8"/>
        </w:rPr>
        <w:t>共同完成，近期图片重复引起质疑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Crizotinib induces autophagy through inhibition of the STAT3      pathway in multiple lung cancer cell lines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Liangkun You, Jiawei Shou, Danchen Deng, Liming Jiang, Zhao      Jing, Junlin Yao, Hongsen Li, Jiansheng Xie, Zhanggui Wang, Qin Pan,      Hongming Pan, Wendong Huang, Weidong Han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 40268-82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26384345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单位：浙江大学医学院邵逸夫医院、美国希望之城国家医疗中心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5171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00946" name=""/>
                    <pic:cNvPicPr>
                      <a:picLocks noChangeAspect="1"/>
                    </pic:cNvPicPr>
                  </pic:nvPicPr>
                  <pic:blipFill>
                    <a:blip xmlns:r="http://schemas.openxmlformats.org/officeDocument/2006/relationships" r:embed="rId6"/>
                    <a:stretch>
                      <a:fillRect/>
                    </a:stretch>
                  </pic:blipFill>
                  <pic:spPr>
                    <a:xfrm>
                      <a:off x="0" y="0"/>
                      <a:ext cx="5486400" cy="517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4733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6821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6340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82304"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浙江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浙江大学医学院</w:t>
        </w:r>
      </w:hyperlink>
      <w:hyperlink r:id="rId10" w:anchor="wechat_redirect" w:tgtFrame="_blank" w:tooltip="邵逸夫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邵逸夫医院</w:t>
        </w:r>
      </w:hyperlink>
      <w:hyperlink r:id="rId11" w:anchor="wechat_redirect" w:tgtFrame="_blank" w:tooltip="美国希望之城国家医疗中心"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美国希望之城国家医疗中心</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54896775197933576" TargetMode="External" /><Relationship Id="rId11" Type="http://schemas.openxmlformats.org/officeDocument/2006/relationships/hyperlink" Target="https://mp.weixin.qq.com/mp/appmsgalbum?__biz=Mzk1Nzk5NzI3Mw==&amp;action=getalbum&amp;album_id=3954896943976726533"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81&amp;idx=2&amp;sn=31a1589d3f6acdd786970a250bbc24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856335160828166144"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